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78D3" w14:textId="77777777" w:rsidR="00F640E6" w:rsidRPr="00BF1818" w:rsidRDefault="00F640E6" w:rsidP="00F640E6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6B68DB16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color w:val="4F81BD" w:themeColor="accent1"/>
          <w:sz w:val="28"/>
          <w:szCs w:val="28"/>
          <w:lang w:val="kl-GL"/>
        </w:rPr>
      </w:pPr>
      <w:r w:rsidRPr="00BF1818">
        <w:rPr>
          <w:b/>
          <w:color w:val="4F81BD" w:themeColor="accent1"/>
          <w:sz w:val="28"/>
          <w:szCs w:val="28"/>
          <w:lang w:val="kl-GL"/>
        </w:rPr>
        <w:t>Akileraartarnermut Aqutsisoqarfimmit najoqqutassiaq.</w:t>
      </w:r>
    </w:p>
    <w:p w14:paraId="30A9BEB9" w14:textId="77777777" w:rsidR="00876575" w:rsidRPr="00045DF1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i/>
          <w:iCs/>
          <w:lang w:val="kl-GL"/>
        </w:rPr>
      </w:pPr>
    </w:p>
    <w:p w14:paraId="2E47C27D" w14:textId="15988B6D" w:rsidR="00045DF1" w:rsidRDefault="00C72D79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i/>
          <w:iCs/>
          <w:u w:val="single"/>
          <w:lang w:val="kl-GL"/>
        </w:rPr>
      </w:pPr>
      <w:r w:rsidRPr="00C72D79">
        <w:rPr>
          <w:b/>
          <w:bCs/>
          <w:i/>
          <w:iCs/>
          <w:u w:val="single"/>
          <w:lang w:val="kl-GL"/>
        </w:rPr>
        <w:t>Nalunaarut una nalunaarummit 153-imit taarserneqarpoq</w:t>
      </w:r>
    </w:p>
    <w:p w14:paraId="0D8C849C" w14:textId="77777777" w:rsidR="00C72D79" w:rsidRDefault="00C72D79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7B06900D" w14:textId="5A3B415F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  <w:r w:rsidRPr="00BF1818">
        <w:rPr>
          <w:lang w:val="kl-GL"/>
        </w:rPr>
        <w:t>Najoqqutassat akileraarusiinermi atugassat Naalakkersuisunit atulersinneqarsinnaapput. Akileraaruserinermik ingerlatsineq pillugu inatsimmi § 21, imm. 3 innersuussutigineqarpoq (Inatsisartut inatsisaat nr. 11, 2. november 2006-imeersoq).</w:t>
      </w:r>
    </w:p>
    <w:p w14:paraId="45D1428D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07F2F092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  <w:r w:rsidRPr="00BF1818">
        <w:rPr>
          <w:lang w:val="kl-GL"/>
        </w:rPr>
        <w:t>Ajunngitsorsiat nalingi makku Naalakkersuisut tamanna tunngavigalugu aalajangersarpaat:</w:t>
      </w:r>
    </w:p>
    <w:p w14:paraId="0E03C03F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40F2F4FF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lang w:val="kl-GL"/>
        </w:rPr>
      </w:pPr>
      <w:r w:rsidRPr="00BF1818">
        <w:rPr>
          <w:b/>
          <w:lang w:val="kl-GL"/>
        </w:rPr>
        <w:t xml:space="preserve">Pineqartut: </w:t>
      </w:r>
      <w:r w:rsidRPr="00BF1818">
        <w:rPr>
          <w:b/>
          <w:lang w:val="kl-GL"/>
        </w:rPr>
        <w:tab/>
        <w:t>A:  Akeqanngitsumik najugaqarneq</w:t>
      </w:r>
    </w:p>
    <w:p w14:paraId="43ADB8BF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lang w:val="kl-GL"/>
        </w:rPr>
      </w:pPr>
      <w:r w:rsidRPr="00BF1818">
        <w:rPr>
          <w:b/>
          <w:lang w:val="kl-GL"/>
        </w:rPr>
        <w:tab/>
      </w:r>
      <w:r w:rsidRPr="00BF1818">
        <w:rPr>
          <w:b/>
          <w:lang w:val="kl-GL"/>
        </w:rPr>
        <w:tab/>
        <w:t>B:  Nammineq nioqqutissaatinik atuineq</w:t>
      </w:r>
    </w:p>
    <w:p w14:paraId="7A95569E" w14:textId="34B1F290" w:rsidR="00876575" w:rsidRPr="00BF1818" w:rsidRDefault="00311B4D" w:rsidP="00311B4D">
      <w:pPr>
        <w:tabs>
          <w:tab w:val="left" w:pos="-851"/>
          <w:tab w:val="left" w:pos="623"/>
          <w:tab w:val="left" w:pos="144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1440" w:hanging="1440"/>
        <w:rPr>
          <w:b/>
          <w:lang w:val="kl-GL"/>
        </w:rPr>
      </w:pPr>
      <w:r w:rsidRPr="00BF1818">
        <w:rPr>
          <w:b/>
          <w:lang w:val="kl-GL"/>
        </w:rPr>
        <w:tab/>
      </w:r>
      <w:r w:rsidRPr="00BF1818">
        <w:rPr>
          <w:b/>
          <w:lang w:val="kl-GL"/>
        </w:rPr>
        <w:tab/>
      </w:r>
      <w:r w:rsidR="00876575" w:rsidRPr="00BF1818">
        <w:rPr>
          <w:b/>
          <w:lang w:val="kl-GL"/>
        </w:rPr>
        <w:t>C:  Qamutit motoorillit Kalaallit Nunaata avataaniittut akeqanngitsumik</w:t>
      </w:r>
      <w:r w:rsidRPr="00BF1818">
        <w:rPr>
          <w:b/>
          <w:lang w:val="kl-GL"/>
        </w:rPr>
        <w:t xml:space="preserve"> </w:t>
      </w:r>
      <w:r w:rsidR="00876575" w:rsidRPr="00BF1818">
        <w:rPr>
          <w:b/>
          <w:lang w:val="kl-GL"/>
        </w:rPr>
        <w:t>atorneqartartut nalingat</w:t>
      </w:r>
    </w:p>
    <w:p w14:paraId="1A6602D2" w14:textId="1A900781" w:rsidR="00311B4D" w:rsidRPr="00BF1818" w:rsidRDefault="00311B4D" w:rsidP="00311B4D">
      <w:pPr>
        <w:tabs>
          <w:tab w:val="left" w:pos="-851"/>
          <w:tab w:val="left" w:pos="623"/>
          <w:tab w:val="left" w:pos="144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1440" w:hanging="1440"/>
        <w:rPr>
          <w:b/>
          <w:lang w:val="kl-GL"/>
        </w:rPr>
      </w:pPr>
      <w:r w:rsidRPr="00BF1818">
        <w:rPr>
          <w:b/>
          <w:lang w:val="kl-GL"/>
        </w:rPr>
        <w:tab/>
      </w:r>
      <w:r w:rsidRPr="00BF1818">
        <w:rPr>
          <w:b/>
          <w:lang w:val="kl-GL"/>
        </w:rPr>
        <w:tab/>
        <w:t xml:space="preserve">D: </w:t>
      </w:r>
      <w:r w:rsidR="00440A93" w:rsidRPr="00BF1818">
        <w:rPr>
          <w:b/>
          <w:bCs/>
          <w:lang w:val="kl-GL"/>
        </w:rPr>
        <w:t>Akiliunneqarluni angalanerit nalingat</w:t>
      </w:r>
    </w:p>
    <w:p w14:paraId="4E28E66E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lang w:val="kl-GL"/>
        </w:rPr>
      </w:pPr>
      <w:r w:rsidRPr="00BF1818">
        <w:rPr>
          <w:b/>
          <w:lang w:val="kl-GL"/>
        </w:rPr>
        <w:tab/>
      </w:r>
      <w:r w:rsidRPr="00BF1818">
        <w:rPr>
          <w:b/>
          <w:lang w:val="kl-GL"/>
        </w:rPr>
        <w:tab/>
      </w:r>
    </w:p>
    <w:p w14:paraId="121CEDB2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  <w:r w:rsidRPr="00BF1818">
        <w:rPr>
          <w:lang w:val="kl-GL"/>
        </w:rPr>
        <w:t>Kiisalu ilanngaatissat makku, naatsorsuusiamik takussutissaqanngippat angissusissaat Naalakkersuisut aalajangersarpaat:</w:t>
      </w:r>
    </w:p>
    <w:p w14:paraId="7AD77012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lang w:val="kl-GL"/>
        </w:rPr>
      </w:pPr>
    </w:p>
    <w:p w14:paraId="35F35B66" w14:textId="05DA98EF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lang w:val="kl-GL"/>
        </w:rPr>
      </w:pPr>
      <w:r w:rsidRPr="00BF1818">
        <w:rPr>
          <w:b/>
          <w:lang w:val="kl-GL"/>
        </w:rPr>
        <w:t>Pineqartut:</w:t>
      </w:r>
      <w:r w:rsidRPr="00BF1818">
        <w:rPr>
          <w:b/>
          <w:lang w:val="kl-GL"/>
        </w:rPr>
        <w:tab/>
      </w:r>
      <w:r w:rsidR="00311B4D" w:rsidRPr="00BF1818">
        <w:rPr>
          <w:b/>
          <w:lang w:val="kl-GL"/>
        </w:rPr>
        <w:t>E</w:t>
      </w:r>
      <w:r w:rsidRPr="00BF1818">
        <w:rPr>
          <w:b/>
          <w:lang w:val="kl-GL"/>
        </w:rPr>
        <w:t>:  Ulluunerani paaqqinnittarnermut atatillugu ilanngaat</w:t>
      </w:r>
    </w:p>
    <w:p w14:paraId="54063171" w14:textId="15F34490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lang w:val="kl-GL"/>
        </w:rPr>
      </w:pPr>
      <w:r w:rsidRPr="00BF1818">
        <w:rPr>
          <w:b/>
          <w:lang w:val="kl-GL"/>
        </w:rPr>
        <w:tab/>
      </w:r>
      <w:r w:rsidRPr="00BF1818">
        <w:rPr>
          <w:b/>
          <w:lang w:val="kl-GL"/>
        </w:rPr>
        <w:tab/>
      </w:r>
      <w:r w:rsidR="00311B4D" w:rsidRPr="00BF1818">
        <w:rPr>
          <w:b/>
          <w:lang w:val="kl-GL"/>
        </w:rPr>
        <w:t>F</w:t>
      </w:r>
      <w:r w:rsidRPr="00BF1818">
        <w:rPr>
          <w:b/>
          <w:lang w:val="kl-GL"/>
        </w:rPr>
        <w:t>:  Tigummigallarneqartunik isumaginninnermi aningaasartuutinut ilanngaat</w:t>
      </w:r>
    </w:p>
    <w:p w14:paraId="0CA3B0A5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48005372" w14:textId="77777777" w:rsidR="00957AE9" w:rsidRPr="00BF1818" w:rsidRDefault="00957AE9" w:rsidP="00957AE9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lang w:val="kl-GL"/>
        </w:rPr>
      </w:pPr>
      <w:r w:rsidRPr="00BF1818">
        <w:rPr>
          <w:b/>
          <w:bCs/>
          <w:lang w:val="kl-GL"/>
        </w:rPr>
        <w:t>Naliliussat akileraartarnermut inatsimmi § 19 c naapertorlugu aaqqinneqarnerat</w:t>
      </w:r>
    </w:p>
    <w:p w14:paraId="193C3BDC" w14:textId="1BE94C7C" w:rsidR="00876575" w:rsidRPr="00BF1818" w:rsidRDefault="007B6CC1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  <w:r w:rsidRPr="00BF1818">
        <w:rPr>
          <w:lang w:val="kl-GL"/>
        </w:rPr>
        <w:t>Nali</w:t>
      </w:r>
      <w:r w:rsidR="00957AE9" w:rsidRPr="00BF1818">
        <w:rPr>
          <w:lang w:val="kl-GL"/>
        </w:rPr>
        <w:t>liussanut</w:t>
      </w:r>
      <w:r w:rsidRPr="00BF1818">
        <w:rPr>
          <w:lang w:val="kl-GL"/>
        </w:rPr>
        <w:t xml:space="preserve"> ataasiakkaanut aaqqiissutissap procentiaq Naatsorsueqqissaartarfiup ukiut tamaasa saqqummiutta</w:t>
      </w:r>
      <w:r w:rsidR="002B1401" w:rsidRPr="00BF1818">
        <w:rPr>
          <w:lang w:val="kl-GL"/>
        </w:rPr>
        <w:t>rpaa, Namminersorlutik Oqartussat nalunaarutaat nr. 6, 14. februar 2020-imeersoq</w:t>
      </w:r>
      <w:r w:rsidR="00D32089" w:rsidRPr="00BF1818">
        <w:rPr>
          <w:lang w:val="kl-GL"/>
        </w:rPr>
        <w:t xml:space="preserve"> nalinillu aaqqiissutissap procentia </w:t>
      </w:r>
      <w:r w:rsidR="000B6972" w:rsidRPr="00BF1818">
        <w:rPr>
          <w:lang w:val="kl-GL"/>
        </w:rPr>
        <w:t>maannakkorpiaq aningaasarsia</w:t>
      </w:r>
      <w:r w:rsidR="000330CC" w:rsidRPr="00BF1818">
        <w:rPr>
          <w:lang w:val="kl-GL"/>
        </w:rPr>
        <w:t>t</w:t>
      </w:r>
      <w:r w:rsidR="000B6972" w:rsidRPr="00BF1818">
        <w:rPr>
          <w:lang w:val="kl-GL"/>
        </w:rPr>
        <w:t xml:space="preserve"> pillugit Inarsisartut inatsisaat naapertorlug</w:t>
      </w:r>
      <w:r w:rsidR="000330CC" w:rsidRPr="00BF1818">
        <w:rPr>
          <w:lang w:val="kl-GL"/>
        </w:rPr>
        <w:t>it</w:t>
      </w:r>
      <w:r w:rsidR="000B6972" w:rsidRPr="00BF1818">
        <w:rPr>
          <w:lang w:val="kl-GL"/>
        </w:rPr>
        <w:t>.</w:t>
      </w:r>
      <w:r w:rsidR="0003555C" w:rsidRPr="00BF1818">
        <w:rPr>
          <w:lang w:val="kl-GL"/>
        </w:rPr>
        <w:t xml:space="preserve"> Ukiumut aningaasarsiorfiusumut 2024-mut nalinik aaqqiissutissap procentia 102,8-taassasoq naatsorsorneqarpoq, Naatsorsueqqissaartarfiup 22. </w:t>
      </w:r>
      <w:r w:rsidR="00A0037B" w:rsidRPr="00BF1818">
        <w:rPr>
          <w:lang w:val="kl-GL"/>
        </w:rPr>
        <w:t>m</w:t>
      </w:r>
      <w:r w:rsidR="0003555C" w:rsidRPr="00BF1818">
        <w:rPr>
          <w:lang w:val="kl-GL"/>
        </w:rPr>
        <w:t>aji 2023-imi nalunaarutaa malillugu.</w:t>
      </w:r>
    </w:p>
    <w:p w14:paraId="011B6C2F" w14:textId="1263B247" w:rsidR="007B6CC1" w:rsidRPr="00BF1818" w:rsidRDefault="007B6CC1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lang w:val="kl-GL"/>
        </w:rPr>
      </w:pPr>
    </w:p>
    <w:p w14:paraId="4122A1B3" w14:textId="77777777" w:rsidR="007B6CC1" w:rsidRPr="00BF1818" w:rsidRDefault="007B6CC1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lang w:val="kl-GL"/>
        </w:rPr>
      </w:pPr>
    </w:p>
    <w:p w14:paraId="0EBAA966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2A016474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12778B0A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0F1DAA65" w14:textId="77777777" w:rsidR="00876575" w:rsidRPr="00BF1818" w:rsidRDefault="00876575" w:rsidP="00876575">
      <w:pPr>
        <w:tabs>
          <w:tab w:val="left" w:pos="-851"/>
          <w:tab w:val="left" w:pos="623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  <w:r w:rsidRPr="00BF1818">
        <w:rPr>
          <w:b/>
          <w:lang w:val="kl-GL"/>
        </w:rPr>
        <w:tab/>
      </w:r>
      <w:r w:rsidRPr="00BF1818">
        <w:rPr>
          <w:b/>
          <w:lang w:val="kl-GL"/>
        </w:rPr>
        <w:tab/>
      </w:r>
      <w:r w:rsidRPr="00BF1818">
        <w:rPr>
          <w:lang w:val="kl-GL"/>
        </w:rPr>
        <w:t xml:space="preserve"> </w:t>
      </w:r>
    </w:p>
    <w:p w14:paraId="001E9B2B" w14:textId="77777777" w:rsidR="00876575" w:rsidRPr="00BF1818" w:rsidRDefault="00876575" w:rsidP="00876575">
      <w:pPr>
        <w:rPr>
          <w:b/>
          <w:u w:val="single"/>
          <w:lang w:val="kl-GL"/>
        </w:rPr>
      </w:pPr>
      <w:r w:rsidRPr="00BF1818">
        <w:rPr>
          <w:b/>
          <w:u w:val="single"/>
          <w:lang w:val="kl-GL"/>
        </w:rPr>
        <w:br w:type="page"/>
      </w:r>
    </w:p>
    <w:p w14:paraId="3133761F" w14:textId="77777777" w:rsidR="00876575" w:rsidRPr="00BF1818" w:rsidRDefault="00876575" w:rsidP="00876575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  <w:lang w:val="kl-GL"/>
        </w:rPr>
      </w:pPr>
      <w:r w:rsidRPr="00BF1818">
        <w:rPr>
          <w:b/>
          <w:u w:val="single"/>
          <w:lang w:val="kl-GL"/>
        </w:rPr>
        <w:lastRenderedPageBreak/>
        <w:t>A-mut:</w:t>
      </w:r>
    </w:p>
    <w:p w14:paraId="1E475144" w14:textId="77777777" w:rsidR="00876575" w:rsidRPr="00BF1818" w:rsidRDefault="00876575" w:rsidP="00876575">
      <w:pPr>
        <w:pStyle w:val="Brdtekst"/>
        <w:rPr>
          <w:b w:val="0"/>
          <w:u w:val="none"/>
          <w:lang w:val="kl-GL"/>
        </w:rPr>
      </w:pPr>
      <w:r w:rsidRPr="00BF1818">
        <w:rPr>
          <w:b w:val="0"/>
          <w:u w:val="none"/>
          <w:lang w:val="kl-GL"/>
        </w:rPr>
        <w:t>Naalakkersuisut aalajangerpaat ingerlatsisut aamma akunnittarfinni pisortat il.il. akeqanngitsumik najugaqartinneqartut taassuma ukiumi aningaasarsiorfiusumi 2024-mi nalinga inummut ataatsimut 64.900 kr.-iusoq ilanngutissagaat.</w:t>
      </w:r>
    </w:p>
    <w:p w14:paraId="310562F0" w14:textId="77777777" w:rsidR="00876575" w:rsidRPr="00BF1818" w:rsidRDefault="00876575" w:rsidP="00876575">
      <w:pPr>
        <w:tabs>
          <w:tab w:val="left" w:pos="-851"/>
          <w:tab w:val="left" w:pos="1"/>
          <w:tab w:val="left" w:pos="566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36B164BC" w14:textId="77777777" w:rsidR="00876575" w:rsidRPr="00BF1818" w:rsidRDefault="00876575" w:rsidP="00876575">
      <w:pPr>
        <w:pStyle w:val="Brdtekst"/>
        <w:rPr>
          <w:b w:val="0"/>
          <w:u w:val="none"/>
          <w:lang w:val="kl-GL"/>
        </w:rPr>
      </w:pPr>
      <w:r w:rsidRPr="00BF1818">
        <w:rPr>
          <w:b w:val="0"/>
          <w:u w:val="none"/>
          <w:lang w:val="kl-GL"/>
        </w:rPr>
        <w:t>Siusinnerusukkut pisarneq assigalugu, sulinngiffeqarnerit assigisaallu peqqutigalugit angerlarsimasannginnerit naliliussamik angissusiliinermi eqqarsaatigineqarput.</w:t>
      </w:r>
    </w:p>
    <w:p w14:paraId="4E724814" w14:textId="77777777" w:rsidR="00876575" w:rsidRPr="00BF1818" w:rsidRDefault="00876575" w:rsidP="00876575">
      <w:pPr>
        <w:tabs>
          <w:tab w:val="left" w:pos="-851"/>
          <w:tab w:val="left" w:pos="1"/>
          <w:tab w:val="left" w:pos="566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1144018F" w14:textId="77777777" w:rsidR="00876575" w:rsidRPr="00BF1818" w:rsidRDefault="00876575" w:rsidP="00876575">
      <w:pPr>
        <w:pStyle w:val="Brdtekst"/>
        <w:rPr>
          <w:b w:val="0"/>
          <w:u w:val="none"/>
          <w:lang w:val="kl-GL"/>
        </w:rPr>
      </w:pPr>
      <w:r w:rsidRPr="00BF1818">
        <w:rPr>
          <w:b w:val="0"/>
          <w:u w:val="none"/>
          <w:lang w:val="kl-GL"/>
        </w:rPr>
        <w:t>Meeqqat ukiup aningaasarsiorfiusup aallartinnerani suli 12-inik ukioqalersimanngitsut naliliussap affaanik naatsorsuunneqassapput.</w:t>
      </w:r>
    </w:p>
    <w:p w14:paraId="78FC79B4" w14:textId="77777777" w:rsidR="00876575" w:rsidRPr="00BF1818" w:rsidRDefault="00876575" w:rsidP="00876575">
      <w:pPr>
        <w:tabs>
          <w:tab w:val="left" w:pos="-851"/>
          <w:tab w:val="left" w:pos="1"/>
          <w:tab w:val="left" w:pos="566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08D5D56C" w14:textId="77777777" w:rsidR="00876575" w:rsidRPr="00BF1818" w:rsidRDefault="00876575" w:rsidP="00876575">
      <w:pPr>
        <w:pStyle w:val="Sidehoved"/>
        <w:tabs>
          <w:tab w:val="clear" w:pos="4819"/>
          <w:tab w:val="clear" w:pos="9638"/>
        </w:tabs>
        <w:rPr>
          <w:lang w:val="kl-GL"/>
        </w:rPr>
      </w:pPr>
      <w:r w:rsidRPr="00BF1818">
        <w:rPr>
          <w:lang w:val="kl-GL"/>
        </w:rPr>
        <w:t>Imigassat kimittuut, immiaaqqat, viinnit tupallu naliliussami ilanngunneqanngimmata, taakkuninnga atuisoqarsimatillugu nalingat tapiliunneqartassaaq.</w:t>
      </w:r>
    </w:p>
    <w:p w14:paraId="0E693A6C" w14:textId="77777777" w:rsidR="00876575" w:rsidRPr="00BF1818" w:rsidRDefault="00876575" w:rsidP="00876575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75F2FED3" w14:textId="77777777" w:rsidR="00876575" w:rsidRPr="00BF1818" w:rsidRDefault="00876575" w:rsidP="00876575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  <w:lang w:val="kl-GL"/>
        </w:rPr>
      </w:pPr>
      <w:r w:rsidRPr="00BF1818">
        <w:rPr>
          <w:b/>
          <w:u w:val="single"/>
          <w:lang w:val="kl-GL"/>
        </w:rPr>
        <w:t>B-mut:</w:t>
      </w:r>
    </w:p>
    <w:p w14:paraId="0626CA55" w14:textId="77777777" w:rsidR="00876575" w:rsidRPr="00BF1818" w:rsidRDefault="00876575" w:rsidP="00876575">
      <w:pPr>
        <w:tabs>
          <w:tab w:val="left" w:pos="-851"/>
          <w:tab w:val="left" w:pos="566"/>
          <w:tab w:val="left" w:pos="1984"/>
          <w:tab w:val="right" w:pos="884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87" w:lineRule="auto"/>
        <w:rPr>
          <w:lang w:val="kl-GL"/>
        </w:rPr>
      </w:pPr>
      <w:r w:rsidRPr="00BF1818">
        <w:rPr>
          <w:lang w:val="kl-GL"/>
        </w:rPr>
        <w:t>Nammineq nioqqutissaatinik atuineq naatsorsuuteqartinneqanngippat naliliussat makku, taassuma nalinganik angissusiliinissami atugassat Naalakkersuisut ukiumut aningaasarsiorfiusumut 2024-mut aalajangerpaat:</w:t>
      </w:r>
    </w:p>
    <w:p w14:paraId="192CE517" w14:textId="77777777" w:rsidR="00876575" w:rsidRPr="00BF1818" w:rsidRDefault="00876575" w:rsidP="00876575">
      <w:pPr>
        <w:tabs>
          <w:tab w:val="left" w:pos="-851"/>
          <w:tab w:val="left" w:pos="566"/>
          <w:tab w:val="left" w:pos="1984"/>
          <w:tab w:val="right" w:pos="884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87" w:lineRule="auto"/>
        <w:rPr>
          <w:lang w:val="kl-GL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577"/>
      </w:tblGrid>
      <w:tr w:rsidR="00876575" w:rsidRPr="00045DF1" w14:paraId="35EBC212" w14:textId="77777777" w:rsidTr="00A9629F">
        <w:trPr>
          <w:trHeight w:val="72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E66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rPr>
                <w:lang w:val="en-GB"/>
              </w:rPr>
              <w:t>Inuussutissarsiortut pineqartut: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4DFE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en-US"/>
              </w:rPr>
              <w:t>Nammineerluni atuinerup inummut ataatsimut nalinga</w:t>
            </w:r>
            <w:r w:rsidRPr="00BF1818">
              <w:rPr>
                <w:lang w:val="de-DE"/>
              </w:rPr>
              <w:t>:</w:t>
            </w:r>
          </w:p>
        </w:tc>
      </w:tr>
      <w:tr w:rsidR="00876575" w:rsidRPr="00BF1818" w14:paraId="0BA829C0" w14:textId="77777777" w:rsidTr="00A9629F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080FA3E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t>Iffiortut:</w:t>
            </w:r>
            <w:r w:rsidRPr="00BF1818">
              <w:rPr>
                <w:lang w:val="de-DE"/>
              </w:rPr>
              <w:t xml:space="preserve">  </w:t>
            </w: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14:paraId="5F0CDDDC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>kr. 18.900</w:t>
            </w:r>
          </w:p>
        </w:tc>
      </w:tr>
      <w:tr w:rsidR="00876575" w:rsidRPr="00BF1818" w14:paraId="2BB5C1F7" w14:textId="77777777" w:rsidTr="00A9629F">
        <w:tc>
          <w:tcPr>
            <w:tcW w:w="3544" w:type="dxa"/>
            <w:shd w:val="clear" w:color="auto" w:fill="auto"/>
          </w:tcPr>
          <w:p w14:paraId="4D5662A5" w14:textId="77777777" w:rsidR="00876575" w:rsidRPr="00BF1818" w:rsidRDefault="00876575" w:rsidP="00A9629F">
            <w:pPr>
              <w:tabs>
                <w:tab w:val="left" w:pos="-851"/>
                <w:tab w:val="left" w:pos="0"/>
                <w:tab w:val="left" w:pos="1702"/>
                <w:tab w:val="left" w:leader="dot" w:pos="5953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rPr>
                <w:lang w:val="de-DE"/>
              </w:rPr>
              <w:t xml:space="preserve">Niuertut qerititanik nioqquteqanngitsut: </w:t>
            </w:r>
          </w:p>
        </w:tc>
        <w:tc>
          <w:tcPr>
            <w:tcW w:w="3577" w:type="dxa"/>
            <w:shd w:val="clear" w:color="auto" w:fill="auto"/>
          </w:tcPr>
          <w:p w14:paraId="0613411E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>kr. 19.500</w:t>
            </w:r>
          </w:p>
        </w:tc>
      </w:tr>
      <w:tr w:rsidR="00876575" w:rsidRPr="00BF1818" w14:paraId="58813454" w14:textId="77777777" w:rsidTr="00A9629F">
        <w:tc>
          <w:tcPr>
            <w:tcW w:w="3544" w:type="dxa"/>
            <w:shd w:val="clear" w:color="auto" w:fill="auto"/>
          </w:tcPr>
          <w:p w14:paraId="76DEDEB1" w14:textId="77777777" w:rsidR="00876575" w:rsidRPr="00BF1818" w:rsidRDefault="00876575" w:rsidP="00A9629F">
            <w:pPr>
              <w:tabs>
                <w:tab w:val="left" w:pos="0"/>
                <w:tab w:val="left" w:pos="1702"/>
                <w:tab w:val="left" w:leader="dot" w:pos="5953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ind w:left="1358" w:hanging="1358"/>
              <w:rPr>
                <w:lang w:val="de-DE"/>
              </w:rPr>
            </w:pPr>
            <w:r w:rsidRPr="00BF1818">
              <w:t xml:space="preserve">Niuertut qerititanik nioqquteqartut: </w:t>
            </w:r>
          </w:p>
        </w:tc>
        <w:tc>
          <w:tcPr>
            <w:tcW w:w="3577" w:type="dxa"/>
            <w:shd w:val="clear" w:color="auto" w:fill="auto"/>
          </w:tcPr>
          <w:p w14:paraId="5F1234D2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>kr. 25.800</w:t>
            </w:r>
          </w:p>
        </w:tc>
      </w:tr>
      <w:tr w:rsidR="00876575" w:rsidRPr="00BF1818" w14:paraId="5D088D74" w14:textId="77777777" w:rsidTr="00A9629F">
        <w:tc>
          <w:tcPr>
            <w:tcW w:w="3544" w:type="dxa"/>
            <w:shd w:val="clear" w:color="auto" w:fill="auto"/>
          </w:tcPr>
          <w:p w14:paraId="6FC164C3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t xml:space="preserve">Savaatillit tuttuutillillu: </w:t>
            </w:r>
          </w:p>
        </w:tc>
        <w:tc>
          <w:tcPr>
            <w:tcW w:w="3577" w:type="dxa"/>
            <w:shd w:val="clear" w:color="auto" w:fill="auto"/>
          </w:tcPr>
          <w:p w14:paraId="69437C68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>kr.   2.300</w:t>
            </w:r>
          </w:p>
        </w:tc>
      </w:tr>
      <w:tr w:rsidR="00876575" w:rsidRPr="00BF1818" w14:paraId="30EB6DF7" w14:textId="77777777" w:rsidTr="00A9629F">
        <w:tc>
          <w:tcPr>
            <w:tcW w:w="3544" w:type="dxa"/>
            <w:shd w:val="clear" w:color="auto" w:fill="auto"/>
          </w:tcPr>
          <w:p w14:paraId="2C2775A8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t xml:space="preserve">Neqaarniat pisiniarfiutillit: </w:t>
            </w:r>
          </w:p>
        </w:tc>
        <w:tc>
          <w:tcPr>
            <w:tcW w:w="3577" w:type="dxa"/>
            <w:shd w:val="clear" w:color="auto" w:fill="auto"/>
          </w:tcPr>
          <w:p w14:paraId="00D971B2" w14:textId="77777777" w:rsidR="00876575" w:rsidRPr="00BF1818" w:rsidRDefault="00876575" w:rsidP="00A9629F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>kr. 25.000</w:t>
            </w:r>
          </w:p>
        </w:tc>
      </w:tr>
    </w:tbl>
    <w:p w14:paraId="52E66E54" w14:textId="77777777" w:rsidR="00876575" w:rsidRPr="00BF1818" w:rsidRDefault="00876575" w:rsidP="00876575">
      <w:pPr>
        <w:tabs>
          <w:tab w:val="left" w:pos="-851"/>
          <w:tab w:val="left" w:pos="566"/>
          <w:tab w:val="left" w:pos="1984"/>
          <w:tab w:val="right" w:pos="884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87" w:lineRule="auto"/>
      </w:pPr>
    </w:p>
    <w:p w14:paraId="6D236A70" w14:textId="77777777" w:rsidR="00876575" w:rsidRPr="00BF1818" w:rsidRDefault="00876575" w:rsidP="00876575">
      <w:pPr>
        <w:pStyle w:val="Brdtekst"/>
        <w:rPr>
          <w:b w:val="0"/>
          <w:u w:val="none"/>
        </w:rPr>
      </w:pPr>
      <w:r w:rsidRPr="00BF1818">
        <w:rPr>
          <w:b w:val="0"/>
          <w:u w:val="none"/>
        </w:rPr>
        <w:t>Siusinnerusukkut pisarneq assigalugu, sulinngiffeqarnerit assigisaallu peqqutigalugit angerlarsimasannginnerit naliliussamik angissusiliinermi eqqarsaatigineqarput.</w:t>
      </w:r>
    </w:p>
    <w:p w14:paraId="02B72BA6" w14:textId="77777777" w:rsidR="00876575" w:rsidRPr="00BF1818" w:rsidRDefault="00876575" w:rsidP="00876575">
      <w:pPr>
        <w:tabs>
          <w:tab w:val="left" w:pos="-851"/>
          <w:tab w:val="left" w:pos="1"/>
          <w:tab w:val="left" w:pos="1360"/>
          <w:tab w:val="left" w:pos="1702"/>
          <w:tab w:val="left" w:leader="dot" w:pos="5953"/>
          <w:tab w:val="left" w:pos="7199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spacing w:line="287" w:lineRule="auto"/>
      </w:pPr>
    </w:p>
    <w:p w14:paraId="48123494" w14:textId="77777777" w:rsidR="00876575" w:rsidRPr="00BF1818" w:rsidRDefault="00876575" w:rsidP="00876575">
      <w:pPr>
        <w:tabs>
          <w:tab w:val="left" w:pos="-851"/>
          <w:tab w:val="left" w:pos="1"/>
          <w:tab w:val="left" w:pos="1360"/>
          <w:tab w:val="left" w:pos="1702"/>
          <w:tab w:val="left" w:leader="dot" w:pos="5953"/>
          <w:tab w:val="left" w:pos="7199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spacing w:line="287" w:lineRule="auto"/>
      </w:pPr>
      <w:r w:rsidRPr="00BF1818">
        <w:t>Meeqqat ukiup aningaasarsiorfiusup aallartinnerani suli 12-inik ukioqalersimanngitsut naliliussap affaanik naatsorsuunneqassapput.</w:t>
      </w:r>
    </w:p>
    <w:p w14:paraId="7D77F139" w14:textId="77777777" w:rsidR="00876575" w:rsidRPr="00BF1818" w:rsidRDefault="00876575" w:rsidP="00876575">
      <w:pPr>
        <w:tabs>
          <w:tab w:val="left" w:pos="-851"/>
          <w:tab w:val="left" w:pos="1"/>
          <w:tab w:val="left" w:pos="1360"/>
          <w:tab w:val="left" w:pos="1702"/>
          <w:tab w:val="left" w:leader="dot" w:pos="5953"/>
          <w:tab w:val="left" w:pos="7199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spacing w:line="287" w:lineRule="auto"/>
      </w:pPr>
    </w:p>
    <w:p w14:paraId="7D6E1848" w14:textId="77777777" w:rsidR="00876575" w:rsidRPr="00BF1818" w:rsidRDefault="00876575" w:rsidP="00876575">
      <w:r w:rsidRPr="00BF1818">
        <w:t xml:space="preserve">Imigassat kimittuut, immiaaqqat, viinnit tupallu naliliussami ilanngunneqanngimmata, taakkuninnga atuisoqarsimatillugu nalingat tapiliunneqartassaaq. </w:t>
      </w:r>
    </w:p>
    <w:p w14:paraId="03A676AC" w14:textId="77777777" w:rsidR="00876575" w:rsidRPr="00BF1818" w:rsidRDefault="00876575" w:rsidP="00876575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24236958" w14:textId="77777777" w:rsidR="00876575" w:rsidRPr="00BF1818" w:rsidRDefault="00876575" w:rsidP="00876575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</w:rPr>
      </w:pPr>
      <w:r w:rsidRPr="00BF1818">
        <w:rPr>
          <w:b/>
          <w:u w:val="single"/>
        </w:rPr>
        <w:lastRenderedPageBreak/>
        <w:t>C-mut:</w:t>
      </w:r>
    </w:p>
    <w:p w14:paraId="7D8D2C08" w14:textId="77777777" w:rsidR="00876575" w:rsidRPr="00BF1818" w:rsidRDefault="00876575" w:rsidP="00876575">
      <w:pPr>
        <w:tabs>
          <w:tab w:val="left" w:pos="1190"/>
          <w:tab w:val="left" w:pos="1700"/>
          <w:tab w:val="left" w:pos="2778"/>
          <w:tab w:val="left" w:pos="4082"/>
          <w:tab w:val="right" w:pos="8334"/>
        </w:tabs>
        <w:spacing w:line="287" w:lineRule="auto"/>
      </w:pPr>
      <w:r w:rsidRPr="00BF1818">
        <w:t>Naalakkersuisut aalajangiipput qamutinik motoorilinnik, Kalaallit Nunaata avataaniittunik sulisitsisup atugassiissutaanik atuineq ukiumi aningaasarsiorfiusumi 2024-mi km-imut ataatsimut 5 kr.-inik angissuseqassasoq.</w:t>
      </w:r>
    </w:p>
    <w:p w14:paraId="2BDF31A8" w14:textId="77777777" w:rsidR="00876575" w:rsidRPr="00BF1818" w:rsidRDefault="00876575" w:rsidP="00876575">
      <w:pPr>
        <w:tabs>
          <w:tab w:val="left" w:pos="1190"/>
          <w:tab w:val="left" w:pos="1700"/>
          <w:tab w:val="left" w:pos="2778"/>
          <w:tab w:val="left" w:pos="4082"/>
          <w:tab w:val="right" w:pos="8334"/>
        </w:tabs>
        <w:spacing w:line="287" w:lineRule="auto"/>
      </w:pPr>
    </w:p>
    <w:p w14:paraId="2C80D286" w14:textId="77777777" w:rsidR="00876575" w:rsidRPr="00BF1818" w:rsidRDefault="00876575" w:rsidP="00876575">
      <w:pPr>
        <w:pStyle w:val="Sidehoved"/>
        <w:tabs>
          <w:tab w:val="clear" w:pos="4819"/>
          <w:tab w:val="clear" w:pos="9638"/>
        </w:tabs>
      </w:pPr>
      <w:r w:rsidRPr="00BF1818">
        <w:t>Aningaasat amerlassusiat ingerlaarsimanerup naatsorsuusiorneranik assigisaanilluunniit uppernarsaaserneqassaaq, taamaanngippat missingersuinikkut angissusiliisoqassammat.</w:t>
      </w:r>
    </w:p>
    <w:p w14:paraId="2A671A38" w14:textId="77777777" w:rsidR="00311B4D" w:rsidRPr="00BF1818" w:rsidRDefault="00311B4D" w:rsidP="00876575">
      <w:pPr>
        <w:pStyle w:val="Sidehoved"/>
        <w:tabs>
          <w:tab w:val="clear" w:pos="4819"/>
          <w:tab w:val="clear" w:pos="9638"/>
        </w:tabs>
      </w:pPr>
    </w:p>
    <w:p w14:paraId="4262BEF8" w14:textId="00F54ECA" w:rsidR="00311B4D" w:rsidRPr="00BF1818" w:rsidRDefault="00311B4D" w:rsidP="00876575">
      <w:pPr>
        <w:pStyle w:val="Sidehoved"/>
        <w:tabs>
          <w:tab w:val="clear" w:pos="4819"/>
          <w:tab w:val="clear" w:pos="9638"/>
        </w:tabs>
        <w:rPr>
          <w:b/>
          <w:bCs/>
        </w:rPr>
      </w:pPr>
      <w:r w:rsidRPr="00BF1818">
        <w:rPr>
          <w:b/>
          <w:bCs/>
        </w:rPr>
        <w:t xml:space="preserve">D-mut: </w:t>
      </w:r>
    </w:p>
    <w:p w14:paraId="5B35B298" w14:textId="77777777" w:rsidR="00311B4D" w:rsidRPr="00BF1818" w:rsidRDefault="00311B4D" w:rsidP="00876575">
      <w:pPr>
        <w:pStyle w:val="Sidehoved"/>
        <w:tabs>
          <w:tab w:val="clear" w:pos="4819"/>
          <w:tab w:val="clear" w:pos="9638"/>
        </w:tabs>
        <w:rPr>
          <w:b/>
          <w:bCs/>
        </w:rPr>
      </w:pPr>
    </w:p>
    <w:p w14:paraId="419B4B7C" w14:textId="5DB6846E" w:rsidR="00311B4D" w:rsidRPr="00BF1818" w:rsidRDefault="009F55FC" w:rsidP="00311B4D">
      <w:pPr>
        <w:tabs>
          <w:tab w:val="left" w:pos="-851"/>
          <w:tab w:val="left" w:pos="566"/>
          <w:tab w:val="left" w:pos="1984"/>
          <w:tab w:val="right" w:pos="884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87" w:lineRule="auto"/>
      </w:pPr>
      <w:r w:rsidRPr="009F55FC">
        <w:t>Sulisitsisup akiligaanik angalanerit nalinginik angissusiliinerit, sulisitsisumit paasissutissanik naammattunik peqartoqartinnagu, ukiumut aningaasarsiorfiusumut 202</w:t>
      </w:r>
      <w:r>
        <w:t>4</w:t>
      </w:r>
      <w:r w:rsidRPr="009F55FC">
        <w:t>-mut nalit qaffasissusissaat Naalakkersuisunit makku aalajangerneqarput</w:t>
      </w:r>
      <w:r w:rsidR="00311B4D" w:rsidRPr="00BF1818">
        <w:t>:</w:t>
      </w:r>
    </w:p>
    <w:p w14:paraId="7DABACC2" w14:textId="77777777" w:rsidR="00311B4D" w:rsidRPr="00BF1818" w:rsidRDefault="00311B4D" w:rsidP="00311B4D">
      <w:pPr>
        <w:pStyle w:val="Sidehoved"/>
        <w:tabs>
          <w:tab w:val="clear" w:pos="4819"/>
          <w:tab w:val="clear" w:pos="9638"/>
        </w:tabs>
        <w:rPr>
          <w:b/>
          <w:bCs/>
          <w:u w:val="single"/>
        </w:rPr>
      </w:pPr>
    </w:p>
    <w:p w14:paraId="16DF527C" w14:textId="77777777" w:rsidR="00311B4D" w:rsidRPr="00BF1818" w:rsidRDefault="00311B4D" w:rsidP="00311B4D">
      <w:pPr>
        <w:pStyle w:val="Sidehoved"/>
        <w:tabs>
          <w:tab w:val="clear" w:pos="4819"/>
          <w:tab w:val="clear" w:pos="9638"/>
        </w:tabs>
        <w:rPr>
          <w:b/>
          <w:bCs/>
          <w:u w:val="single"/>
        </w:rPr>
      </w:pPr>
    </w:p>
    <w:p w14:paraId="227807D7" w14:textId="77777777" w:rsidR="00311B4D" w:rsidRPr="00BF1818" w:rsidRDefault="00311B4D" w:rsidP="00876575">
      <w:pPr>
        <w:pStyle w:val="Sidehoved"/>
        <w:tabs>
          <w:tab w:val="clear" w:pos="4819"/>
          <w:tab w:val="clear" w:pos="9638"/>
        </w:tabs>
        <w:rPr>
          <w:b/>
          <w:bCs/>
        </w:rPr>
      </w:pPr>
    </w:p>
    <w:tbl>
      <w:tblPr>
        <w:tblStyle w:val="Almindeligtabel5"/>
        <w:tblW w:w="9184" w:type="dxa"/>
        <w:tblLayout w:type="fixed"/>
        <w:tblLook w:val="04A0" w:firstRow="1" w:lastRow="0" w:firstColumn="1" w:lastColumn="0" w:noHBand="0" w:noVBand="1"/>
      </w:tblPr>
      <w:tblGrid>
        <w:gridCol w:w="5659"/>
        <w:gridCol w:w="1175"/>
        <w:gridCol w:w="1175"/>
        <w:gridCol w:w="1175"/>
      </w:tblGrid>
      <w:tr w:rsidR="005B2B85" w:rsidRPr="00BF1818" w14:paraId="7A2DF03B" w14:textId="77777777" w:rsidTr="00396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59" w:type="dxa"/>
            <w:noWrap/>
            <w:hideMark/>
          </w:tcPr>
          <w:p w14:paraId="1CB333EE" w14:textId="47B94571" w:rsidR="005B2B85" w:rsidRPr="00BF1818" w:rsidRDefault="005B2B85" w:rsidP="00396E73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BF1818">
              <w:rPr>
                <w:rFonts w:ascii="Times New Roman" w:hAnsi="Times New Roman" w:cs="Times New Roman"/>
                <w:b/>
                <w:bCs/>
              </w:rPr>
              <w:t>Akiliunneqarluni angalanerit nalingat</w:t>
            </w:r>
          </w:p>
        </w:tc>
        <w:tc>
          <w:tcPr>
            <w:tcW w:w="1175" w:type="dxa"/>
          </w:tcPr>
          <w:p w14:paraId="21DBE371" w14:textId="77777777" w:rsidR="005B2B85" w:rsidRPr="00BF1818" w:rsidRDefault="005B2B85" w:rsidP="00396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75" w:type="dxa"/>
          </w:tcPr>
          <w:p w14:paraId="0BB11F73" w14:textId="3F1C68E5" w:rsidR="005B2B85" w:rsidRPr="00BF1818" w:rsidRDefault="00F67142" w:rsidP="00396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Qaffaat</w:t>
            </w:r>
          </w:p>
        </w:tc>
        <w:tc>
          <w:tcPr>
            <w:tcW w:w="1175" w:type="dxa"/>
            <w:noWrap/>
            <w:hideMark/>
          </w:tcPr>
          <w:p w14:paraId="25103780" w14:textId="77777777" w:rsidR="005B2B85" w:rsidRPr="00BF1818" w:rsidRDefault="005B2B85" w:rsidP="00396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5B2B85" w:rsidRPr="00BF1818" w14:paraId="05FA9B9D" w14:textId="77777777" w:rsidTr="0039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14:paraId="4F65F341" w14:textId="0D069B92" w:rsidR="005B2B85" w:rsidRPr="00BF1818" w:rsidRDefault="005B2B85" w:rsidP="00396E7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Inersimasoq</w:t>
            </w:r>
          </w:p>
        </w:tc>
        <w:tc>
          <w:tcPr>
            <w:tcW w:w="1175" w:type="dxa"/>
          </w:tcPr>
          <w:p w14:paraId="1531ED24" w14:textId="7F1E9BFF" w:rsidR="005B2B85" w:rsidRPr="00BF1818" w:rsidRDefault="005B2B85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18.086</w:t>
            </w:r>
          </w:p>
        </w:tc>
        <w:tc>
          <w:tcPr>
            <w:tcW w:w="1175" w:type="dxa"/>
          </w:tcPr>
          <w:p w14:paraId="37634077" w14:textId="4105B245" w:rsidR="005B2B85" w:rsidRPr="00BF1818" w:rsidRDefault="005B2B85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1175" w:type="dxa"/>
            <w:noWrap/>
            <w:hideMark/>
          </w:tcPr>
          <w:p w14:paraId="75ACEC85" w14:textId="21158B30" w:rsidR="005B2B85" w:rsidRPr="00BF1818" w:rsidRDefault="005B2B85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18.592</w:t>
            </w:r>
          </w:p>
        </w:tc>
      </w:tr>
      <w:tr w:rsidR="005B2B85" w:rsidRPr="00BF1818" w14:paraId="3C1A4F89" w14:textId="77777777" w:rsidTr="00396E7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14:paraId="7A307BB9" w14:textId="41EA1276" w:rsidR="005B2B85" w:rsidRPr="00BF1818" w:rsidRDefault="005B2B85" w:rsidP="00396E7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Meeraq marlunniit 11-nik ukiulik</w:t>
            </w:r>
          </w:p>
        </w:tc>
        <w:tc>
          <w:tcPr>
            <w:tcW w:w="1175" w:type="dxa"/>
          </w:tcPr>
          <w:p w14:paraId="3107500F" w14:textId="71FF85E3" w:rsidR="005B2B85" w:rsidRPr="00BF1818" w:rsidRDefault="005B2B85" w:rsidP="00396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9.043</w:t>
            </w:r>
          </w:p>
        </w:tc>
        <w:tc>
          <w:tcPr>
            <w:tcW w:w="1175" w:type="dxa"/>
          </w:tcPr>
          <w:p w14:paraId="00972000" w14:textId="347C26B3" w:rsidR="005B2B85" w:rsidRPr="00BF1818" w:rsidRDefault="005B2B85" w:rsidP="00396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75" w:type="dxa"/>
            <w:noWrap/>
            <w:hideMark/>
          </w:tcPr>
          <w:p w14:paraId="40B35D97" w14:textId="2D425304" w:rsidR="005B2B85" w:rsidRPr="00BF1818" w:rsidRDefault="005B2B85" w:rsidP="00396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9.296</w:t>
            </w:r>
          </w:p>
        </w:tc>
      </w:tr>
      <w:tr w:rsidR="005B2B85" w:rsidRPr="00BF1818" w14:paraId="25A03B57" w14:textId="77777777" w:rsidTr="0039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14:paraId="586A0C5E" w14:textId="5B07DDA6" w:rsidR="005B2B85" w:rsidRPr="00BF1818" w:rsidRDefault="005B2B85" w:rsidP="00396E7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Meeraq marluk inorlugit ukiulik</w:t>
            </w:r>
          </w:p>
        </w:tc>
        <w:tc>
          <w:tcPr>
            <w:tcW w:w="1175" w:type="dxa"/>
          </w:tcPr>
          <w:p w14:paraId="77694491" w14:textId="1E89A77A" w:rsidR="005B2B85" w:rsidRPr="00BF1818" w:rsidRDefault="005B2B85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1.800</w:t>
            </w:r>
          </w:p>
        </w:tc>
        <w:tc>
          <w:tcPr>
            <w:tcW w:w="1175" w:type="dxa"/>
          </w:tcPr>
          <w:p w14:paraId="1C786763" w14:textId="5237020B" w:rsidR="005B2B85" w:rsidRPr="00BF1818" w:rsidRDefault="005B2B85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5" w:type="dxa"/>
            <w:noWrap/>
            <w:hideMark/>
          </w:tcPr>
          <w:p w14:paraId="52230C6B" w14:textId="281C54BF" w:rsidR="005B2B85" w:rsidRPr="00BF1818" w:rsidRDefault="005B2B85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1.850</w:t>
            </w:r>
          </w:p>
        </w:tc>
      </w:tr>
    </w:tbl>
    <w:p w14:paraId="38E3F823" w14:textId="77777777" w:rsidR="005B2B85" w:rsidRPr="00BF1818" w:rsidRDefault="005B2B85" w:rsidP="00876575">
      <w:pPr>
        <w:pStyle w:val="Sidehoved"/>
        <w:tabs>
          <w:tab w:val="clear" w:pos="4819"/>
          <w:tab w:val="clear" w:pos="9638"/>
        </w:tabs>
        <w:rPr>
          <w:b/>
          <w:bCs/>
        </w:rPr>
      </w:pPr>
    </w:p>
    <w:p w14:paraId="65192602" w14:textId="77777777" w:rsidR="00876575" w:rsidRPr="00BF1818" w:rsidRDefault="00876575" w:rsidP="00876575">
      <w:pPr>
        <w:pStyle w:val="Default"/>
        <w:rPr>
          <w:rFonts w:ascii="Times New Roman" w:hAnsi="Times New Roman" w:cs="Times New Roman"/>
        </w:rPr>
      </w:pPr>
    </w:p>
    <w:p w14:paraId="10D417EF" w14:textId="2B3EF895" w:rsidR="00876575" w:rsidRPr="00BF1818" w:rsidRDefault="00311B4D" w:rsidP="00876575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</w:rPr>
      </w:pPr>
      <w:r w:rsidRPr="00BF1818">
        <w:rPr>
          <w:b/>
          <w:u w:val="single"/>
        </w:rPr>
        <w:t>E</w:t>
      </w:r>
      <w:r w:rsidR="00876575" w:rsidRPr="00BF1818">
        <w:rPr>
          <w:b/>
          <w:u w:val="single"/>
        </w:rPr>
        <w:t xml:space="preserve">-mut: </w:t>
      </w:r>
    </w:p>
    <w:p w14:paraId="33A6F34F" w14:textId="77777777" w:rsidR="00876575" w:rsidRPr="00BF1818" w:rsidRDefault="00876575" w:rsidP="00876575">
      <w:pPr>
        <w:pStyle w:val="Default"/>
        <w:rPr>
          <w:rFonts w:ascii="Times New Roman" w:hAnsi="Times New Roman" w:cs="Times New Roman"/>
          <w:color w:val="auto"/>
        </w:rPr>
      </w:pPr>
      <w:r w:rsidRPr="00BF1818">
        <w:rPr>
          <w:rFonts w:ascii="Times New Roman" w:hAnsi="Times New Roman" w:cs="Times New Roman"/>
          <w:color w:val="auto"/>
        </w:rPr>
        <w:t>Naalakkersuisut aalajangiipput ulluunerani paaqqinnittarnermut atatillugu aningaasartuutit naatsorsuuteqartinneqanngippata, paaqqinninnersiutit tallimararterutaat (1/5), annerpaamilli meeqqamut ataatsimut qaammammut 1.200 kr.-it ukiumi aningaasarsiorfiusumi 2024-mi ilanngaatigineqarsinnaassasut.</w:t>
      </w:r>
    </w:p>
    <w:p w14:paraId="26D0DC1E" w14:textId="77777777" w:rsidR="00876575" w:rsidRPr="00BF1818" w:rsidRDefault="00876575" w:rsidP="00876575">
      <w:pPr>
        <w:pStyle w:val="Default"/>
        <w:rPr>
          <w:rFonts w:ascii="Times New Roman" w:hAnsi="Times New Roman" w:cs="Times New Roman"/>
          <w:color w:val="auto"/>
        </w:rPr>
      </w:pPr>
    </w:p>
    <w:p w14:paraId="35992A24" w14:textId="462F2231" w:rsidR="00876575" w:rsidRPr="00BF1818" w:rsidRDefault="00311B4D" w:rsidP="00876575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</w:rPr>
      </w:pPr>
      <w:r w:rsidRPr="00BF1818">
        <w:rPr>
          <w:b/>
          <w:u w:val="single"/>
        </w:rPr>
        <w:t>F</w:t>
      </w:r>
      <w:r w:rsidR="00876575" w:rsidRPr="00BF1818">
        <w:rPr>
          <w:b/>
          <w:u w:val="single"/>
        </w:rPr>
        <w:t xml:space="preserve">-mut: </w:t>
      </w:r>
    </w:p>
    <w:p w14:paraId="4FF2663E" w14:textId="77777777" w:rsidR="00876575" w:rsidRPr="00BF1818" w:rsidRDefault="00876575" w:rsidP="00876575">
      <w:pPr>
        <w:pStyle w:val="Sidehoved"/>
        <w:tabs>
          <w:tab w:val="clear" w:pos="4819"/>
          <w:tab w:val="clear" w:pos="9638"/>
        </w:tabs>
      </w:pPr>
      <w:r w:rsidRPr="00BF1818">
        <w:t>Naalakkersuisut aalajangiipput tigummigallarneqartunik isumaginninnermi aningaasartuutit naatsorsuuteqartinneqanngippata, tigummigallarneqartumut ataatsimut ullormut unnuamullu 168 kr.-it ukiumi aningaasarsiorfiusumi 2024-mi ilanngaatigineqarsinnaassasut.</w:t>
      </w:r>
    </w:p>
    <w:p w14:paraId="2167E19C" w14:textId="77777777" w:rsidR="00D94F7E" w:rsidRPr="00BF1818" w:rsidRDefault="00D94F7E">
      <w:pPr>
        <w:rPr>
          <w:b/>
          <w:color w:val="4F81BD" w:themeColor="accent1"/>
          <w:sz w:val="28"/>
          <w:szCs w:val="28"/>
        </w:rPr>
      </w:pPr>
      <w:r w:rsidRPr="00BF1818">
        <w:rPr>
          <w:b/>
          <w:color w:val="4F81BD" w:themeColor="accent1"/>
          <w:sz w:val="28"/>
          <w:szCs w:val="28"/>
        </w:rPr>
        <w:br w:type="page"/>
      </w:r>
    </w:p>
    <w:p w14:paraId="58CFD1EB" w14:textId="5FB0EC58" w:rsidR="00F640E6" w:rsidRPr="00BF1818" w:rsidRDefault="00F640E6" w:rsidP="00F640E6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color w:val="4F81BD" w:themeColor="accent1"/>
          <w:sz w:val="28"/>
          <w:szCs w:val="28"/>
        </w:rPr>
      </w:pPr>
      <w:r w:rsidRPr="00BF1818">
        <w:rPr>
          <w:b/>
          <w:color w:val="4F81BD" w:themeColor="accent1"/>
          <w:sz w:val="28"/>
          <w:szCs w:val="28"/>
        </w:rPr>
        <w:lastRenderedPageBreak/>
        <w:t>Vejledende anvisning fra Skattestyrelsen</w:t>
      </w:r>
    </w:p>
    <w:p w14:paraId="7FE84189" w14:textId="77777777" w:rsidR="00045DF1" w:rsidRPr="00045DF1" w:rsidRDefault="00045DF1" w:rsidP="00045DF1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i/>
          <w:iCs/>
          <w:u w:val="single"/>
          <w:lang w:val="kl-GL"/>
        </w:rPr>
      </w:pPr>
      <w:r w:rsidRPr="00045DF1">
        <w:rPr>
          <w:b/>
          <w:bCs/>
          <w:i/>
          <w:iCs/>
          <w:u w:val="single"/>
          <w:lang w:val="kl-GL"/>
        </w:rPr>
        <w:t xml:space="preserve">Denne meddelse erstatter meddelelse nr. 153. </w:t>
      </w:r>
    </w:p>
    <w:p w14:paraId="7BD7CD71" w14:textId="77777777" w:rsidR="004B61FE" w:rsidRPr="00045DF1" w:rsidRDefault="004B61FE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lang w:val="kl-GL"/>
        </w:rPr>
      </w:pPr>
    </w:p>
    <w:p w14:paraId="20127A3D" w14:textId="77777777" w:rsidR="00045DF1" w:rsidRDefault="00045DF1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18AB8760" w14:textId="2BBD8134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BF1818">
        <w:t xml:space="preserve">Naalakkersuisut kan til brug for ligningen </w:t>
      </w:r>
      <w:r w:rsidR="004B61FE" w:rsidRPr="00BF1818">
        <w:t>udstede vejledende anvisninger.</w:t>
      </w:r>
      <w:r w:rsidR="00AD1BF9" w:rsidRPr="00BF1818">
        <w:t xml:space="preserve"> </w:t>
      </w:r>
      <w:r w:rsidR="004B61FE" w:rsidRPr="00BF1818">
        <w:t xml:space="preserve">Der henvises til </w:t>
      </w:r>
      <w:r w:rsidR="00AD1BF9" w:rsidRPr="00BF1818">
        <w:t xml:space="preserve">skatteforvaltningslovens </w:t>
      </w:r>
      <w:r w:rsidR="004B61FE" w:rsidRPr="00BF1818">
        <w:t>§ 21, stk. 3</w:t>
      </w:r>
      <w:r w:rsidR="00AD1BF9" w:rsidRPr="00BF1818">
        <w:t xml:space="preserve"> (L</w:t>
      </w:r>
      <w:r w:rsidR="004B61FE" w:rsidRPr="00BF1818">
        <w:t>andstingslov nr. 11 af 3. november 2006</w:t>
      </w:r>
      <w:r w:rsidR="00AD1BF9" w:rsidRPr="00BF1818">
        <w:t>)</w:t>
      </w:r>
      <w:r w:rsidR="00D94F7E" w:rsidRPr="00BF1818">
        <w:t>.</w:t>
      </w:r>
    </w:p>
    <w:p w14:paraId="33C6C8C8" w14:textId="77777777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7442E3A8" w14:textId="1AA871D0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BF1818">
        <w:t>Naalakkersuisut har</w:t>
      </w:r>
      <w:r w:rsidR="00AD1BF9" w:rsidRPr="00BF1818">
        <w:t xml:space="preserve"> på den baggrund</w:t>
      </w:r>
      <w:r w:rsidRPr="00BF1818">
        <w:t xml:space="preserve"> vedtaget følgende værdiansættelser af goder</w:t>
      </w:r>
      <w:r w:rsidR="004B61FE" w:rsidRPr="00BF1818">
        <w:t>:</w:t>
      </w:r>
    </w:p>
    <w:p w14:paraId="452499F8" w14:textId="77777777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28339557" w14:textId="77777777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</w:rPr>
      </w:pPr>
      <w:r w:rsidRPr="00BF1818">
        <w:rPr>
          <w:b/>
        </w:rPr>
        <w:t xml:space="preserve">Emne: </w:t>
      </w:r>
      <w:r w:rsidRPr="00BF1818">
        <w:rPr>
          <w:b/>
        </w:rPr>
        <w:tab/>
        <w:t>A:  Frit ophold</w:t>
      </w:r>
    </w:p>
    <w:p w14:paraId="5DF4E0B4" w14:textId="77777777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</w:rPr>
      </w:pPr>
      <w:r w:rsidRPr="00BF1818">
        <w:rPr>
          <w:b/>
        </w:rPr>
        <w:tab/>
      </w:r>
      <w:r w:rsidRPr="00BF1818">
        <w:rPr>
          <w:b/>
        </w:rPr>
        <w:tab/>
        <w:t>B:  Forbrug af egne varer</w:t>
      </w:r>
    </w:p>
    <w:p w14:paraId="165D38C7" w14:textId="77777777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</w:rPr>
      </w:pPr>
      <w:r w:rsidRPr="00BF1818">
        <w:rPr>
          <w:b/>
        </w:rPr>
        <w:tab/>
      </w:r>
      <w:r w:rsidRPr="00BF1818">
        <w:rPr>
          <w:b/>
        </w:rPr>
        <w:tab/>
        <w:t>C:  Værdi af frit motorkøretøj, uden for Grønland</w:t>
      </w:r>
    </w:p>
    <w:p w14:paraId="78D3B084" w14:textId="5058367C" w:rsidR="00296262" w:rsidRPr="00BF1818" w:rsidRDefault="0029626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</w:rPr>
      </w:pPr>
      <w:r w:rsidRPr="00BF1818">
        <w:rPr>
          <w:b/>
        </w:rPr>
        <w:tab/>
      </w:r>
      <w:r w:rsidRPr="00BF1818">
        <w:rPr>
          <w:b/>
        </w:rPr>
        <w:tab/>
        <w:t>D: Værdi af arbejdsgiverbetalt rejse</w:t>
      </w:r>
    </w:p>
    <w:p w14:paraId="1157E68A" w14:textId="77777777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</w:rPr>
      </w:pPr>
      <w:r w:rsidRPr="00BF1818">
        <w:rPr>
          <w:b/>
        </w:rPr>
        <w:tab/>
      </w:r>
      <w:r w:rsidRPr="00BF1818">
        <w:rPr>
          <w:b/>
        </w:rPr>
        <w:tab/>
      </w:r>
    </w:p>
    <w:p w14:paraId="7433F11B" w14:textId="77777777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BF1818">
        <w:t>Herudover har Naalakkersuisut vedtaget følgende fradragsstørrelser, hvor der ikke foreligger en regnskabsmæssig opgørelse:</w:t>
      </w:r>
    </w:p>
    <w:p w14:paraId="07B582C3" w14:textId="77777777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</w:rPr>
      </w:pPr>
    </w:p>
    <w:p w14:paraId="59662052" w14:textId="3DE090AA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</w:rPr>
      </w:pPr>
      <w:r w:rsidRPr="00BF1818">
        <w:rPr>
          <w:b/>
        </w:rPr>
        <w:t>Emne:</w:t>
      </w:r>
      <w:r w:rsidR="00D94F7E" w:rsidRPr="00BF1818">
        <w:rPr>
          <w:b/>
        </w:rPr>
        <w:tab/>
      </w:r>
      <w:r w:rsidR="00296262" w:rsidRPr="00BF1818">
        <w:rPr>
          <w:b/>
        </w:rPr>
        <w:t>E</w:t>
      </w:r>
      <w:r w:rsidRPr="00BF1818">
        <w:rPr>
          <w:b/>
        </w:rPr>
        <w:t xml:space="preserve">: </w:t>
      </w:r>
      <w:r w:rsidR="00D94F7E" w:rsidRPr="00BF1818">
        <w:rPr>
          <w:b/>
        </w:rPr>
        <w:t xml:space="preserve"> </w:t>
      </w:r>
      <w:r w:rsidRPr="00BF1818">
        <w:rPr>
          <w:b/>
        </w:rPr>
        <w:t>Fradrag i forbindelse med dagpleje</w:t>
      </w:r>
    </w:p>
    <w:p w14:paraId="3DF2CD72" w14:textId="6B1A961C" w:rsidR="005C3DA2" w:rsidRPr="00BF1818" w:rsidRDefault="005C3DA2" w:rsidP="005C3DA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</w:rPr>
      </w:pPr>
      <w:r w:rsidRPr="00BF1818">
        <w:rPr>
          <w:b/>
        </w:rPr>
        <w:tab/>
      </w:r>
      <w:r w:rsidR="00D94F7E" w:rsidRPr="00BF1818">
        <w:rPr>
          <w:b/>
        </w:rPr>
        <w:tab/>
      </w:r>
      <w:r w:rsidR="00296262" w:rsidRPr="00BF1818">
        <w:rPr>
          <w:b/>
        </w:rPr>
        <w:t>F</w:t>
      </w:r>
      <w:r w:rsidRPr="00BF1818">
        <w:rPr>
          <w:b/>
        </w:rPr>
        <w:t>:</w:t>
      </w:r>
      <w:r w:rsidR="00D94F7E" w:rsidRPr="00BF1818">
        <w:rPr>
          <w:b/>
        </w:rPr>
        <w:t xml:space="preserve"> </w:t>
      </w:r>
      <w:r w:rsidRPr="00BF1818">
        <w:rPr>
          <w:b/>
        </w:rPr>
        <w:t xml:space="preserve"> Fradrag for forplejning af tilbageholdte</w:t>
      </w:r>
    </w:p>
    <w:p w14:paraId="52429D1D" w14:textId="77777777" w:rsidR="005C3DA2" w:rsidRPr="00BF1818" w:rsidRDefault="005C3DA2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01E088FA" w14:textId="4D3FAB9E" w:rsidR="00AD1BF9" w:rsidRPr="00BF1818" w:rsidRDefault="00AD1BF9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1EA7B048" w14:textId="77777777" w:rsidR="00AD1BF9" w:rsidRPr="00BF1818" w:rsidRDefault="00AD1BF9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6B2B9EE9" w14:textId="77777777" w:rsidR="00896E80" w:rsidRPr="00BF1818" w:rsidRDefault="00AD1BF9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</w:rPr>
      </w:pPr>
      <w:r w:rsidRPr="00BF1818">
        <w:rPr>
          <w:b/>
          <w:bCs/>
        </w:rPr>
        <w:t>Satstilpasningsregulering efter indkomstskattelovens § 19 c</w:t>
      </w:r>
    </w:p>
    <w:p w14:paraId="732B5000" w14:textId="77777777" w:rsidR="00896E80" w:rsidRPr="00BF1818" w:rsidRDefault="00896E80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</w:rPr>
      </w:pPr>
    </w:p>
    <w:p w14:paraId="37BAA378" w14:textId="42EF58B8" w:rsidR="000D0ECB" w:rsidRPr="00BF1818" w:rsidRDefault="00896E80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</w:rPr>
      </w:pPr>
      <w:bookmarkStart w:id="0" w:name="_Hlk145070262"/>
      <w:r w:rsidRPr="00BF1818">
        <w:t>De enkelte satser reguleres med satstilpasningsprocenten, der hvert år offentliggøres af Grønlands Statistik, jf. Selvstyrets bekendtgørelse nr. 6 af 14. februar 2020 af Inatsisartutlov om en satstilpasningsprocent og om aktuel indkomst. Satstilpasningsprocenten er beregnet til 102,8 for indkomståret 2024, jf. meddelelse fra Grønlands Statistik af den 22. maj 2023.</w:t>
      </w:r>
    </w:p>
    <w:bookmarkEnd w:id="0"/>
    <w:p w14:paraId="5688F4F5" w14:textId="48BF49CA" w:rsidR="000D0ECB" w:rsidRPr="00BF1818" w:rsidRDefault="000D0ECB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5F2A4015" w14:textId="77777777" w:rsidR="000D0ECB" w:rsidRPr="00BF1818" w:rsidRDefault="000D0ECB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066AC172" w14:textId="213C8DAC" w:rsidR="00170A55" w:rsidRPr="00BF1818" w:rsidRDefault="00F640E6" w:rsidP="004B61FE">
      <w:pPr>
        <w:tabs>
          <w:tab w:val="left" w:pos="-851"/>
          <w:tab w:val="left" w:pos="623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BF1818">
        <w:rPr>
          <w:b/>
        </w:rPr>
        <w:tab/>
      </w:r>
      <w:r w:rsidRPr="00BF1818">
        <w:rPr>
          <w:b/>
        </w:rPr>
        <w:tab/>
      </w:r>
      <w:r w:rsidR="00204B38" w:rsidRPr="00BF1818">
        <w:t xml:space="preserve"> </w:t>
      </w:r>
    </w:p>
    <w:p w14:paraId="311B119A" w14:textId="77777777" w:rsidR="00AD1BF9" w:rsidRPr="00BF1818" w:rsidRDefault="00AD1BF9">
      <w:pPr>
        <w:rPr>
          <w:b/>
          <w:u w:val="single"/>
        </w:rPr>
      </w:pPr>
      <w:r w:rsidRPr="00BF1818">
        <w:rPr>
          <w:b/>
          <w:u w:val="single"/>
        </w:rPr>
        <w:br w:type="page"/>
      </w:r>
    </w:p>
    <w:p w14:paraId="78C32E51" w14:textId="6D7EB60D" w:rsidR="00F640E6" w:rsidRPr="00BF1818" w:rsidRDefault="00F640E6" w:rsidP="00F640E6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</w:rPr>
      </w:pPr>
      <w:r w:rsidRPr="00BF1818">
        <w:rPr>
          <w:b/>
          <w:u w:val="single"/>
        </w:rPr>
        <w:lastRenderedPageBreak/>
        <w:t xml:space="preserve">Ad </w:t>
      </w:r>
      <w:r w:rsidR="00B54B64" w:rsidRPr="00BF1818">
        <w:rPr>
          <w:b/>
          <w:u w:val="single"/>
        </w:rPr>
        <w:t>A</w:t>
      </w:r>
      <w:r w:rsidRPr="00BF1818">
        <w:rPr>
          <w:b/>
          <w:u w:val="single"/>
        </w:rPr>
        <w:t>:</w:t>
      </w:r>
    </w:p>
    <w:p w14:paraId="72D4CD0A" w14:textId="71E2A39A" w:rsidR="00F640E6" w:rsidRPr="00BF1818" w:rsidRDefault="00F640E6" w:rsidP="00F640E6">
      <w:pPr>
        <w:pStyle w:val="Brdtekst"/>
        <w:rPr>
          <w:b w:val="0"/>
          <w:u w:val="none"/>
        </w:rPr>
      </w:pPr>
      <w:r w:rsidRPr="00BF1818">
        <w:rPr>
          <w:b w:val="0"/>
          <w:u w:val="none"/>
        </w:rPr>
        <w:t>Naalakkersuisut har vedtaget, at bestyrere og hoteldirektører m.fl., der har frit ophold, skal med</w:t>
      </w:r>
      <w:r w:rsidRPr="00BF1818">
        <w:rPr>
          <w:b w:val="0"/>
          <w:u w:val="none"/>
        </w:rPr>
        <w:softHyphen/>
        <w:t xml:space="preserve">regne værdien heraf med kr. </w:t>
      </w:r>
      <w:r w:rsidR="001B5F73" w:rsidRPr="00BF1818">
        <w:rPr>
          <w:b w:val="0"/>
          <w:u w:val="none"/>
        </w:rPr>
        <w:t>6</w:t>
      </w:r>
      <w:r w:rsidR="004259FA" w:rsidRPr="00BF1818">
        <w:rPr>
          <w:b w:val="0"/>
          <w:u w:val="none"/>
        </w:rPr>
        <w:t>4.900</w:t>
      </w:r>
      <w:r w:rsidRPr="00BF1818">
        <w:rPr>
          <w:b w:val="0"/>
          <w:u w:val="none"/>
        </w:rPr>
        <w:t xml:space="preserve"> pr. person for indkomståret 20</w:t>
      </w:r>
      <w:r w:rsidR="00054DD2" w:rsidRPr="00BF1818">
        <w:rPr>
          <w:b w:val="0"/>
          <w:u w:val="none"/>
        </w:rPr>
        <w:t>2</w:t>
      </w:r>
      <w:r w:rsidR="00896E80" w:rsidRPr="00BF1818">
        <w:rPr>
          <w:b w:val="0"/>
          <w:u w:val="none"/>
        </w:rPr>
        <w:t>4</w:t>
      </w:r>
      <w:r w:rsidRPr="00BF1818">
        <w:rPr>
          <w:b w:val="0"/>
          <w:u w:val="none"/>
        </w:rPr>
        <w:t>.</w:t>
      </w:r>
    </w:p>
    <w:p w14:paraId="68CADCF6" w14:textId="77777777" w:rsidR="00F640E6" w:rsidRPr="00BF1818" w:rsidRDefault="00F640E6" w:rsidP="00F640E6">
      <w:pPr>
        <w:tabs>
          <w:tab w:val="left" w:pos="-851"/>
          <w:tab w:val="left" w:pos="1"/>
          <w:tab w:val="left" w:pos="566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498BAB99" w14:textId="5EF244E9" w:rsidR="00F640E6" w:rsidRPr="00BF1818" w:rsidRDefault="00F640E6" w:rsidP="00F640E6">
      <w:pPr>
        <w:pStyle w:val="Brdtekst"/>
        <w:rPr>
          <w:b w:val="0"/>
          <w:u w:val="none"/>
        </w:rPr>
      </w:pPr>
      <w:r w:rsidRPr="00BF1818">
        <w:rPr>
          <w:b w:val="0"/>
          <w:u w:val="none"/>
        </w:rPr>
        <w:t>I lighed med tidligere er der ved fastsættelsen af satsen taget højde for fravær grundet ferier og lig-nende.</w:t>
      </w:r>
    </w:p>
    <w:p w14:paraId="0E42EB72" w14:textId="77777777" w:rsidR="00F640E6" w:rsidRPr="00BF1818" w:rsidRDefault="00F640E6" w:rsidP="00F640E6">
      <w:pPr>
        <w:tabs>
          <w:tab w:val="left" w:pos="-851"/>
          <w:tab w:val="left" w:pos="1"/>
          <w:tab w:val="left" w:pos="566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384F263E" w14:textId="77777777" w:rsidR="00F640E6" w:rsidRPr="00BF1818" w:rsidRDefault="00F640E6" w:rsidP="00F640E6">
      <w:pPr>
        <w:pStyle w:val="Brdtekst"/>
        <w:rPr>
          <w:b w:val="0"/>
          <w:u w:val="none"/>
        </w:rPr>
      </w:pPr>
      <w:r w:rsidRPr="00BF1818">
        <w:rPr>
          <w:b w:val="0"/>
          <w:u w:val="none"/>
        </w:rPr>
        <w:t>Børn, der ikke er fyldt 12 år ved indkomstårets begyndelse, skal medregnes med halv sats.</w:t>
      </w:r>
    </w:p>
    <w:p w14:paraId="4F7AEA58" w14:textId="77777777" w:rsidR="00F640E6" w:rsidRPr="00BF1818" w:rsidRDefault="00F640E6" w:rsidP="00F640E6">
      <w:pPr>
        <w:tabs>
          <w:tab w:val="left" w:pos="-851"/>
          <w:tab w:val="left" w:pos="1"/>
          <w:tab w:val="left" w:pos="566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397D194C" w14:textId="77777777" w:rsidR="00F640E6" w:rsidRPr="00BF1818" w:rsidRDefault="00F640E6" w:rsidP="00F640E6">
      <w:pPr>
        <w:pStyle w:val="Sidehoved"/>
        <w:tabs>
          <w:tab w:val="clear" w:pos="4819"/>
          <w:tab w:val="clear" w:pos="9638"/>
        </w:tabs>
      </w:pPr>
      <w:r w:rsidRPr="00BF1818">
        <w:t>Satsen er excl. spiritus, øl, vin og tobak, hvorfor der i givet fald skal tillægges værdi heraf.</w:t>
      </w:r>
    </w:p>
    <w:p w14:paraId="0F403E98" w14:textId="77777777" w:rsidR="00F640E6" w:rsidRPr="00BF1818" w:rsidRDefault="00F640E6" w:rsidP="00F640E6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2EAE19B9" w14:textId="152F53B7" w:rsidR="00F640E6" w:rsidRPr="00BF1818" w:rsidRDefault="00F640E6" w:rsidP="00F640E6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</w:rPr>
      </w:pPr>
      <w:r w:rsidRPr="00BF1818">
        <w:rPr>
          <w:b/>
          <w:u w:val="single"/>
        </w:rPr>
        <w:t xml:space="preserve">Ad </w:t>
      </w:r>
      <w:r w:rsidR="00B54B64" w:rsidRPr="00BF1818">
        <w:rPr>
          <w:b/>
          <w:u w:val="single"/>
        </w:rPr>
        <w:t>B</w:t>
      </w:r>
      <w:r w:rsidRPr="00BF1818">
        <w:rPr>
          <w:b/>
          <w:u w:val="single"/>
        </w:rPr>
        <w:t>:</w:t>
      </w:r>
    </w:p>
    <w:p w14:paraId="681D9324" w14:textId="019B8213" w:rsidR="00F640E6" w:rsidRPr="00BF1818" w:rsidRDefault="00F640E6" w:rsidP="00F640E6">
      <w:pPr>
        <w:tabs>
          <w:tab w:val="left" w:pos="-851"/>
          <w:tab w:val="left" w:pos="566"/>
          <w:tab w:val="left" w:pos="1984"/>
          <w:tab w:val="right" w:pos="884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87" w:lineRule="auto"/>
      </w:pPr>
      <w:r w:rsidRPr="00BF1818">
        <w:t>Til brug ved værdiansættelsen af privat forbrug af egne varer, når der ikke foreligger bogføring heraf, har Naalakkersuisut vedtaget følgende satser for indkomst</w:t>
      </w:r>
      <w:r w:rsidRPr="00BF1818">
        <w:softHyphen/>
      </w:r>
      <w:r w:rsidRPr="00BF1818">
        <w:softHyphen/>
        <w:t>året 20</w:t>
      </w:r>
      <w:r w:rsidR="00054DD2" w:rsidRPr="00BF1818">
        <w:t>2</w:t>
      </w:r>
      <w:r w:rsidR="004259FA" w:rsidRPr="00BF1818">
        <w:t>4</w:t>
      </w:r>
      <w:r w:rsidRPr="00BF1818">
        <w:t>:</w:t>
      </w:r>
    </w:p>
    <w:p w14:paraId="51A2AA1D" w14:textId="77777777" w:rsidR="00F640E6" w:rsidRPr="00BF1818" w:rsidRDefault="00F640E6" w:rsidP="00F640E6">
      <w:pPr>
        <w:tabs>
          <w:tab w:val="left" w:pos="-851"/>
          <w:tab w:val="left" w:pos="566"/>
          <w:tab w:val="left" w:pos="1984"/>
          <w:tab w:val="right" w:pos="884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87" w:lineRule="auto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577"/>
      </w:tblGrid>
      <w:tr w:rsidR="00F640E6" w:rsidRPr="00BF1818" w14:paraId="7D5C9C8B" w14:textId="77777777" w:rsidTr="003C59A9">
        <w:trPr>
          <w:trHeight w:val="72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4F2CC" w14:textId="77777777" w:rsidR="00F640E6" w:rsidRPr="00BF1818" w:rsidRDefault="00F640E6" w:rsidP="00E458F9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rPr>
                <w:lang w:val="en-GB"/>
              </w:rPr>
              <w:t>Branche: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37B44" w14:textId="33E74666" w:rsidR="003C59A9" w:rsidRPr="00BF1818" w:rsidRDefault="00F640E6" w:rsidP="003C59A9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t>Værdi af eget forbrug pr. person</w:t>
            </w:r>
            <w:r w:rsidRPr="00BF1818">
              <w:rPr>
                <w:lang w:val="de-DE"/>
              </w:rPr>
              <w:t>:</w:t>
            </w:r>
          </w:p>
        </w:tc>
      </w:tr>
      <w:tr w:rsidR="00F640E6" w:rsidRPr="00BF1818" w14:paraId="2F2814B7" w14:textId="77777777" w:rsidTr="003C59A9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4EE6D37" w14:textId="77777777" w:rsidR="00F640E6" w:rsidRPr="00BF1818" w:rsidRDefault="00F640E6" w:rsidP="00E458F9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t>Bagere:</w:t>
            </w:r>
            <w:r w:rsidRPr="00BF1818">
              <w:rPr>
                <w:lang w:val="de-DE"/>
              </w:rPr>
              <w:t xml:space="preserve">  </w:t>
            </w: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14:paraId="29E0C667" w14:textId="4D34F914" w:rsidR="00F640E6" w:rsidRPr="00BF1818" w:rsidRDefault="00F640E6" w:rsidP="00054DD2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 xml:space="preserve">kr. </w:t>
            </w:r>
            <w:r w:rsidR="001B5F73" w:rsidRPr="00BF1818">
              <w:rPr>
                <w:lang w:val="de-DE"/>
              </w:rPr>
              <w:t>18</w:t>
            </w:r>
            <w:r w:rsidRPr="00BF1818">
              <w:rPr>
                <w:lang w:val="de-DE"/>
              </w:rPr>
              <w:t>.</w:t>
            </w:r>
            <w:r w:rsidR="004259FA" w:rsidRPr="00BF1818">
              <w:rPr>
                <w:lang w:val="de-DE"/>
              </w:rPr>
              <w:t>9</w:t>
            </w:r>
            <w:r w:rsidRPr="00BF1818">
              <w:rPr>
                <w:lang w:val="de-DE"/>
              </w:rPr>
              <w:t>00</w:t>
            </w:r>
          </w:p>
        </w:tc>
      </w:tr>
      <w:tr w:rsidR="00F640E6" w:rsidRPr="00BF1818" w14:paraId="601B726A" w14:textId="77777777" w:rsidTr="003C59A9">
        <w:tc>
          <w:tcPr>
            <w:tcW w:w="3544" w:type="dxa"/>
            <w:shd w:val="clear" w:color="auto" w:fill="auto"/>
          </w:tcPr>
          <w:p w14:paraId="2FAF8C45" w14:textId="77777777" w:rsidR="00F640E6" w:rsidRPr="00BF1818" w:rsidRDefault="00F640E6" w:rsidP="00E458F9">
            <w:pPr>
              <w:tabs>
                <w:tab w:val="left" w:pos="-851"/>
                <w:tab w:val="left" w:pos="0"/>
                <w:tab w:val="left" w:pos="1702"/>
                <w:tab w:val="left" w:leader="dot" w:pos="5953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rPr>
                <w:lang w:val="de-DE"/>
              </w:rPr>
              <w:t xml:space="preserve">Kolonial uden frostbox: </w:t>
            </w:r>
          </w:p>
        </w:tc>
        <w:tc>
          <w:tcPr>
            <w:tcW w:w="3577" w:type="dxa"/>
            <w:shd w:val="clear" w:color="auto" w:fill="auto"/>
          </w:tcPr>
          <w:p w14:paraId="7CA4FA18" w14:textId="49D1865D" w:rsidR="00F640E6" w:rsidRPr="00BF1818" w:rsidRDefault="00F640E6" w:rsidP="00E458F9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>kr. 1</w:t>
            </w:r>
            <w:r w:rsidR="00170A55" w:rsidRPr="00BF1818">
              <w:rPr>
                <w:lang w:val="de-DE"/>
              </w:rPr>
              <w:t>9</w:t>
            </w:r>
            <w:r w:rsidRPr="00BF1818">
              <w:rPr>
                <w:lang w:val="de-DE"/>
              </w:rPr>
              <w:t>.</w:t>
            </w:r>
            <w:r w:rsidR="004259FA" w:rsidRPr="00BF1818">
              <w:rPr>
                <w:lang w:val="de-DE"/>
              </w:rPr>
              <w:t>5</w:t>
            </w:r>
            <w:r w:rsidRPr="00BF1818">
              <w:rPr>
                <w:lang w:val="de-DE"/>
              </w:rPr>
              <w:t>00</w:t>
            </w:r>
          </w:p>
        </w:tc>
      </w:tr>
      <w:tr w:rsidR="00F640E6" w:rsidRPr="00BF1818" w14:paraId="0AD87061" w14:textId="77777777" w:rsidTr="003C59A9">
        <w:tc>
          <w:tcPr>
            <w:tcW w:w="3544" w:type="dxa"/>
            <w:shd w:val="clear" w:color="auto" w:fill="auto"/>
          </w:tcPr>
          <w:p w14:paraId="1801248D" w14:textId="77777777" w:rsidR="00F640E6" w:rsidRPr="00BF1818" w:rsidRDefault="00F640E6" w:rsidP="00E458F9">
            <w:pPr>
              <w:tabs>
                <w:tab w:val="left" w:pos="0"/>
                <w:tab w:val="left" w:pos="1702"/>
                <w:tab w:val="left" w:leader="dot" w:pos="5953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ind w:left="1358" w:hanging="1358"/>
              <w:rPr>
                <w:lang w:val="de-DE"/>
              </w:rPr>
            </w:pPr>
            <w:r w:rsidRPr="00BF1818">
              <w:t xml:space="preserve">Kolonial med frostbox: </w:t>
            </w:r>
          </w:p>
        </w:tc>
        <w:tc>
          <w:tcPr>
            <w:tcW w:w="3577" w:type="dxa"/>
            <w:shd w:val="clear" w:color="auto" w:fill="auto"/>
          </w:tcPr>
          <w:p w14:paraId="7EE3F91B" w14:textId="0B431C87" w:rsidR="00F640E6" w:rsidRPr="00BF1818" w:rsidRDefault="00F640E6" w:rsidP="00E458F9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>kr. 2</w:t>
            </w:r>
            <w:r w:rsidR="00170A55" w:rsidRPr="00BF1818">
              <w:rPr>
                <w:lang w:val="de-DE"/>
              </w:rPr>
              <w:t>5</w:t>
            </w:r>
            <w:r w:rsidR="00054DD2" w:rsidRPr="00BF1818">
              <w:rPr>
                <w:lang w:val="de-DE"/>
              </w:rPr>
              <w:t>.</w:t>
            </w:r>
            <w:r w:rsidR="004259FA" w:rsidRPr="00BF1818">
              <w:rPr>
                <w:lang w:val="de-DE"/>
              </w:rPr>
              <w:t>8</w:t>
            </w:r>
            <w:r w:rsidRPr="00BF1818">
              <w:rPr>
                <w:lang w:val="de-DE"/>
              </w:rPr>
              <w:t>00</w:t>
            </w:r>
          </w:p>
        </w:tc>
      </w:tr>
      <w:tr w:rsidR="00F640E6" w:rsidRPr="00BF1818" w14:paraId="3CC3F589" w14:textId="77777777" w:rsidTr="003C59A9">
        <w:tc>
          <w:tcPr>
            <w:tcW w:w="3544" w:type="dxa"/>
            <w:shd w:val="clear" w:color="auto" w:fill="auto"/>
          </w:tcPr>
          <w:p w14:paraId="2C5BFE8C" w14:textId="77777777" w:rsidR="00F640E6" w:rsidRPr="00BF1818" w:rsidRDefault="00F640E6" w:rsidP="00E458F9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t xml:space="preserve">Fåre- og rensdyrholdere: </w:t>
            </w:r>
          </w:p>
        </w:tc>
        <w:tc>
          <w:tcPr>
            <w:tcW w:w="3577" w:type="dxa"/>
            <w:shd w:val="clear" w:color="auto" w:fill="auto"/>
          </w:tcPr>
          <w:p w14:paraId="60411B5F" w14:textId="59344BD9" w:rsidR="00F640E6" w:rsidRPr="00BF1818" w:rsidRDefault="00F640E6" w:rsidP="00E458F9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>kr.   2.</w:t>
            </w:r>
            <w:r w:rsidR="004259FA" w:rsidRPr="00BF1818">
              <w:rPr>
                <w:lang w:val="de-DE"/>
              </w:rPr>
              <w:t>30</w:t>
            </w:r>
            <w:r w:rsidRPr="00BF1818">
              <w:rPr>
                <w:lang w:val="de-DE"/>
              </w:rPr>
              <w:t>0</w:t>
            </w:r>
          </w:p>
        </w:tc>
      </w:tr>
      <w:tr w:rsidR="00F640E6" w:rsidRPr="00BF1818" w14:paraId="1AC0B228" w14:textId="77777777" w:rsidTr="003C59A9">
        <w:tc>
          <w:tcPr>
            <w:tcW w:w="3544" w:type="dxa"/>
            <w:shd w:val="clear" w:color="auto" w:fill="auto"/>
          </w:tcPr>
          <w:p w14:paraId="44AF636F" w14:textId="77777777" w:rsidR="00F640E6" w:rsidRPr="00BF1818" w:rsidRDefault="00F640E6" w:rsidP="00E458F9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rPr>
                <w:lang w:val="de-DE"/>
              </w:rPr>
            </w:pPr>
            <w:r w:rsidRPr="00BF1818">
              <w:t xml:space="preserve">Slagtere med viktualie: </w:t>
            </w:r>
          </w:p>
        </w:tc>
        <w:tc>
          <w:tcPr>
            <w:tcW w:w="3577" w:type="dxa"/>
            <w:shd w:val="clear" w:color="auto" w:fill="auto"/>
          </w:tcPr>
          <w:p w14:paraId="17866AED" w14:textId="6A8DC921" w:rsidR="00F640E6" w:rsidRPr="00BF1818" w:rsidRDefault="00F640E6" w:rsidP="00E458F9">
            <w:pPr>
              <w:tabs>
                <w:tab w:val="left" w:pos="-851"/>
                <w:tab w:val="left" w:pos="1"/>
                <w:tab w:val="left" w:pos="1360"/>
                <w:tab w:val="left" w:pos="1702"/>
                <w:tab w:val="left" w:pos="2552"/>
                <w:tab w:val="left" w:pos="3403"/>
                <w:tab w:val="left" w:pos="4762"/>
                <w:tab w:val="left" w:pos="5105"/>
                <w:tab w:val="left" w:pos="5956"/>
                <w:tab w:val="left" w:pos="7199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line="287" w:lineRule="auto"/>
              <w:jc w:val="center"/>
              <w:rPr>
                <w:lang w:val="de-DE"/>
              </w:rPr>
            </w:pPr>
            <w:r w:rsidRPr="00BF1818">
              <w:rPr>
                <w:lang w:val="de-DE"/>
              </w:rPr>
              <w:t>kr. 2</w:t>
            </w:r>
            <w:r w:rsidR="004259FA" w:rsidRPr="00BF1818">
              <w:rPr>
                <w:lang w:val="de-DE"/>
              </w:rPr>
              <w:t>5.00</w:t>
            </w:r>
            <w:r w:rsidRPr="00BF1818">
              <w:rPr>
                <w:lang w:val="de-DE"/>
              </w:rPr>
              <w:t>0</w:t>
            </w:r>
          </w:p>
        </w:tc>
      </w:tr>
    </w:tbl>
    <w:p w14:paraId="6D7F7AE0" w14:textId="77777777" w:rsidR="00F640E6" w:rsidRPr="00BF1818" w:rsidRDefault="00F640E6" w:rsidP="00F640E6">
      <w:pPr>
        <w:tabs>
          <w:tab w:val="left" w:pos="-851"/>
          <w:tab w:val="left" w:pos="566"/>
          <w:tab w:val="left" w:pos="1984"/>
          <w:tab w:val="right" w:pos="884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87" w:lineRule="auto"/>
      </w:pPr>
    </w:p>
    <w:p w14:paraId="4E99D51E" w14:textId="4F587BD6" w:rsidR="00F640E6" w:rsidRPr="00BF1818" w:rsidRDefault="00F640E6" w:rsidP="00F640E6">
      <w:pPr>
        <w:tabs>
          <w:tab w:val="left" w:pos="-851"/>
          <w:tab w:val="left" w:pos="1"/>
          <w:tab w:val="left" w:pos="1360"/>
          <w:tab w:val="left" w:pos="1702"/>
          <w:tab w:val="left" w:leader="dot" w:pos="5953"/>
          <w:tab w:val="left" w:pos="7199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spacing w:line="287" w:lineRule="auto"/>
      </w:pPr>
      <w:r w:rsidRPr="00BF1818">
        <w:t>I lighed med tidligere er der ved fastsættelsen af satserne taget højde for fravær grundet i ferier og lignende.</w:t>
      </w:r>
      <w:r w:rsidR="00855404" w:rsidRPr="00BF1818">
        <w:t xml:space="preserve"> </w:t>
      </w:r>
    </w:p>
    <w:p w14:paraId="7E91AF8B" w14:textId="77777777" w:rsidR="00F640E6" w:rsidRPr="00BF1818" w:rsidRDefault="00F640E6" w:rsidP="00F640E6">
      <w:pPr>
        <w:tabs>
          <w:tab w:val="left" w:pos="-851"/>
          <w:tab w:val="left" w:pos="1"/>
          <w:tab w:val="left" w:pos="1360"/>
          <w:tab w:val="left" w:pos="1702"/>
          <w:tab w:val="left" w:leader="dot" w:pos="5953"/>
          <w:tab w:val="left" w:pos="7199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spacing w:line="287" w:lineRule="auto"/>
      </w:pPr>
    </w:p>
    <w:p w14:paraId="36086AEC" w14:textId="77777777" w:rsidR="00F640E6" w:rsidRPr="00BF1818" w:rsidRDefault="00F640E6" w:rsidP="00F640E6">
      <w:pPr>
        <w:tabs>
          <w:tab w:val="left" w:pos="-851"/>
          <w:tab w:val="left" w:pos="1"/>
          <w:tab w:val="left" w:pos="1360"/>
          <w:tab w:val="left" w:pos="1702"/>
          <w:tab w:val="left" w:leader="dot" w:pos="5953"/>
          <w:tab w:val="left" w:pos="7199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spacing w:line="287" w:lineRule="auto"/>
      </w:pPr>
      <w:r w:rsidRPr="00BF1818">
        <w:t>Børn, der ikke er fyldt 12 år ved indkomstårets begyndelse, skal medregnes med halv sats.</w:t>
      </w:r>
    </w:p>
    <w:p w14:paraId="7BFAAA49" w14:textId="77777777" w:rsidR="00F640E6" w:rsidRPr="00BF1818" w:rsidRDefault="00F640E6" w:rsidP="00F640E6">
      <w:pPr>
        <w:tabs>
          <w:tab w:val="left" w:pos="-851"/>
          <w:tab w:val="left" w:pos="1"/>
          <w:tab w:val="left" w:pos="1360"/>
          <w:tab w:val="left" w:pos="1702"/>
          <w:tab w:val="left" w:leader="dot" w:pos="5953"/>
          <w:tab w:val="left" w:pos="7199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spacing w:line="287" w:lineRule="auto"/>
      </w:pPr>
    </w:p>
    <w:p w14:paraId="5A63A875" w14:textId="77777777" w:rsidR="00F640E6" w:rsidRPr="00BF1818" w:rsidRDefault="00F640E6" w:rsidP="00F640E6">
      <w:r w:rsidRPr="00BF1818">
        <w:t>Satsen er excl. spiritus, øl, vin og tobak, hvorfor der i givet fald skal tillægges værdi heraf.</w:t>
      </w:r>
    </w:p>
    <w:p w14:paraId="48345EAA" w14:textId="77777777" w:rsidR="00244FD5" w:rsidRPr="00BF1818" w:rsidRDefault="00244FD5" w:rsidP="00244FD5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620B97A2" w14:textId="6C9A3900" w:rsidR="00F640E6" w:rsidRPr="00BF1818" w:rsidRDefault="00F640E6" w:rsidP="00F640E6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</w:rPr>
      </w:pPr>
      <w:r w:rsidRPr="00BF1818">
        <w:rPr>
          <w:b/>
          <w:u w:val="single"/>
        </w:rPr>
        <w:t xml:space="preserve">Ad </w:t>
      </w:r>
      <w:r w:rsidR="00B54B64" w:rsidRPr="00BF1818">
        <w:rPr>
          <w:b/>
          <w:u w:val="single"/>
        </w:rPr>
        <w:t>C</w:t>
      </w:r>
      <w:r w:rsidRPr="00BF1818">
        <w:rPr>
          <w:b/>
          <w:u w:val="single"/>
        </w:rPr>
        <w:t>:</w:t>
      </w:r>
    </w:p>
    <w:p w14:paraId="71C5110B" w14:textId="71F15869" w:rsidR="00F640E6" w:rsidRPr="00BF1818" w:rsidRDefault="00F640E6" w:rsidP="00F640E6">
      <w:pPr>
        <w:tabs>
          <w:tab w:val="left" w:pos="1190"/>
          <w:tab w:val="left" w:pos="1700"/>
          <w:tab w:val="left" w:pos="2778"/>
          <w:tab w:val="left" w:pos="4082"/>
          <w:tab w:val="right" w:pos="8334"/>
        </w:tabs>
        <w:spacing w:line="287" w:lineRule="auto"/>
      </w:pPr>
      <w:r w:rsidRPr="00BF1818">
        <w:t>Naalakkersuisut har vedtaget, at privat benyttelse af motorkøretøj, der af arbejdsgiveren er stillet til rådig</w:t>
      </w:r>
      <w:r w:rsidRPr="00BF1818">
        <w:softHyphen/>
        <w:t xml:space="preserve">hed uden for Grønland for indkomståret </w:t>
      </w:r>
      <w:r w:rsidR="001B5F73" w:rsidRPr="00BF1818">
        <w:t>202</w:t>
      </w:r>
      <w:r w:rsidR="004259FA" w:rsidRPr="00BF1818">
        <w:t>4,</w:t>
      </w:r>
      <w:r w:rsidRPr="00BF1818">
        <w:t xml:space="preserve"> fast</w:t>
      </w:r>
      <w:r w:rsidRPr="00BF1818">
        <w:softHyphen/>
      </w:r>
      <w:r w:rsidRPr="00BF1818">
        <w:softHyphen/>
        <w:t xml:space="preserve">sættes til kr. </w:t>
      </w:r>
      <w:r w:rsidR="00733FC5" w:rsidRPr="00BF1818">
        <w:t>5</w:t>
      </w:r>
      <w:r w:rsidRPr="00BF1818">
        <w:t xml:space="preserve"> pr. km.</w:t>
      </w:r>
    </w:p>
    <w:p w14:paraId="302BC21E" w14:textId="77777777" w:rsidR="00F640E6" w:rsidRPr="00BF1818" w:rsidRDefault="00F640E6" w:rsidP="00F640E6">
      <w:pPr>
        <w:tabs>
          <w:tab w:val="left" w:pos="1190"/>
          <w:tab w:val="left" w:pos="1700"/>
          <w:tab w:val="left" w:pos="2778"/>
          <w:tab w:val="left" w:pos="4082"/>
          <w:tab w:val="right" w:pos="8334"/>
        </w:tabs>
        <w:spacing w:line="287" w:lineRule="auto"/>
      </w:pPr>
    </w:p>
    <w:p w14:paraId="7DA31702" w14:textId="479F2F9A" w:rsidR="005C3DA2" w:rsidRPr="00BF1818" w:rsidRDefault="00F640E6" w:rsidP="00170A55">
      <w:pPr>
        <w:pStyle w:val="Sidehoved"/>
        <w:tabs>
          <w:tab w:val="clear" w:pos="4819"/>
          <w:tab w:val="clear" w:pos="9638"/>
        </w:tabs>
      </w:pPr>
      <w:r w:rsidRPr="00BF1818">
        <w:t>Beløbet skal dokumenteres med kørselsregnskab eller lignende, i modsat fald foretages ansættelsen efter et skøn.</w:t>
      </w:r>
    </w:p>
    <w:p w14:paraId="1FC542E2" w14:textId="77777777" w:rsidR="00296262" w:rsidRPr="00BF1818" w:rsidRDefault="00296262" w:rsidP="00170A55">
      <w:pPr>
        <w:pStyle w:val="Sidehoved"/>
        <w:tabs>
          <w:tab w:val="clear" w:pos="4819"/>
          <w:tab w:val="clear" w:pos="9638"/>
        </w:tabs>
      </w:pPr>
    </w:p>
    <w:p w14:paraId="1E1DBBD1" w14:textId="77777777" w:rsidR="00296262" w:rsidRPr="00BF1818" w:rsidRDefault="00296262" w:rsidP="00170A55">
      <w:pPr>
        <w:pStyle w:val="Sidehoved"/>
        <w:tabs>
          <w:tab w:val="clear" w:pos="4819"/>
          <w:tab w:val="clear" w:pos="9638"/>
        </w:tabs>
      </w:pPr>
    </w:p>
    <w:p w14:paraId="71D736D4" w14:textId="187315B7" w:rsidR="00296262" w:rsidRPr="00BF1818" w:rsidRDefault="00296262" w:rsidP="00170A55">
      <w:pPr>
        <w:pStyle w:val="Sidehoved"/>
        <w:tabs>
          <w:tab w:val="clear" w:pos="4819"/>
          <w:tab w:val="clear" w:pos="9638"/>
        </w:tabs>
        <w:rPr>
          <w:b/>
          <w:bCs/>
          <w:u w:val="single"/>
        </w:rPr>
      </w:pPr>
      <w:r w:rsidRPr="00BF1818">
        <w:rPr>
          <w:b/>
          <w:bCs/>
          <w:u w:val="single"/>
        </w:rPr>
        <w:lastRenderedPageBreak/>
        <w:t xml:space="preserve">Ad D: </w:t>
      </w:r>
    </w:p>
    <w:p w14:paraId="0A9A5003" w14:textId="77777777" w:rsidR="00296262" w:rsidRPr="00BF1818" w:rsidRDefault="00296262" w:rsidP="00170A55">
      <w:pPr>
        <w:pStyle w:val="Sidehoved"/>
        <w:tabs>
          <w:tab w:val="clear" w:pos="4819"/>
          <w:tab w:val="clear" w:pos="9638"/>
        </w:tabs>
        <w:rPr>
          <w:b/>
          <w:bCs/>
          <w:u w:val="single"/>
        </w:rPr>
      </w:pPr>
    </w:p>
    <w:p w14:paraId="1B76AB4E" w14:textId="20E48AAE" w:rsidR="00296262" w:rsidRPr="00BF1818" w:rsidRDefault="00296262" w:rsidP="00296262">
      <w:pPr>
        <w:tabs>
          <w:tab w:val="left" w:pos="-851"/>
          <w:tab w:val="left" w:pos="566"/>
          <w:tab w:val="left" w:pos="1984"/>
          <w:tab w:val="right" w:pos="884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87" w:lineRule="auto"/>
      </w:pPr>
      <w:r w:rsidRPr="00BF1818">
        <w:t xml:space="preserve">Til brug ved værdiansættelsen af arbejdsgiverbetalte rejser, når der ikke foreligger </w:t>
      </w:r>
      <w:r w:rsidR="00311B4D" w:rsidRPr="00BF1818">
        <w:t>tilstrækkelig dokumentation fra arbejdsgivers side</w:t>
      </w:r>
      <w:r w:rsidRPr="00BF1818">
        <w:t>, har Naalakkersuisut vedtaget følgende satser for indkomst</w:t>
      </w:r>
      <w:r w:rsidRPr="00BF1818">
        <w:softHyphen/>
      </w:r>
      <w:r w:rsidRPr="00BF1818">
        <w:softHyphen/>
        <w:t>året 2024:</w:t>
      </w:r>
    </w:p>
    <w:p w14:paraId="30DF1D24" w14:textId="77777777" w:rsidR="00296262" w:rsidRPr="00BF1818" w:rsidRDefault="00296262" w:rsidP="00170A55">
      <w:pPr>
        <w:pStyle w:val="Sidehoved"/>
        <w:tabs>
          <w:tab w:val="clear" w:pos="4819"/>
          <w:tab w:val="clear" w:pos="9638"/>
        </w:tabs>
        <w:rPr>
          <w:b/>
          <w:bCs/>
          <w:u w:val="single"/>
        </w:rPr>
      </w:pPr>
    </w:p>
    <w:p w14:paraId="548215A0" w14:textId="77777777" w:rsidR="00296262" w:rsidRPr="00BF1818" w:rsidRDefault="00296262" w:rsidP="00170A55">
      <w:pPr>
        <w:pStyle w:val="Sidehoved"/>
        <w:tabs>
          <w:tab w:val="clear" w:pos="4819"/>
          <w:tab w:val="clear" w:pos="9638"/>
        </w:tabs>
        <w:rPr>
          <w:b/>
          <w:bCs/>
          <w:u w:val="single"/>
        </w:rPr>
      </w:pPr>
    </w:p>
    <w:p w14:paraId="1DDA1B80" w14:textId="77777777" w:rsidR="00296262" w:rsidRPr="00BF1818" w:rsidRDefault="00296262" w:rsidP="00170A55">
      <w:pPr>
        <w:pStyle w:val="Sidehoved"/>
        <w:tabs>
          <w:tab w:val="clear" w:pos="4819"/>
          <w:tab w:val="clear" w:pos="9638"/>
        </w:tabs>
        <w:rPr>
          <w:b/>
          <w:bCs/>
          <w:u w:val="single"/>
        </w:rPr>
      </w:pPr>
    </w:p>
    <w:tbl>
      <w:tblPr>
        <w:tblStyle w:val="Almindeligtabel5"/>
        <w:tblW w:w="9184" w:type="dxa"/>
        <w:tblLayout w:type="fixed"/>
        <w:tblLook w:val="04A0" w:firstRow="1" w:lastRow="0" w:firstColumn="1" w:lastColumn="0" w:noHBand="0" w:noVBand="1"/>
      </w:tblPr>
      <w:tblGrid>
        <w:gridCol w:w="5659"/>
        <w:gridCol w:w="1175"/>
        <w:gridCol w:w="1175"/>
        <w:gridCol w:w="1175"/>
      </w:tblGrid>
      <w:tr w:rsidR="00F67142" w:rsidRPr="00BF1818" w14:paraId="20948259" w14:textId="77777777" w:rsidTr="00396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59" w:type="dxa"/>
            <w:noWrap/>
            <w:hideMark/>
          </w:tcPr>
          <w:p w14:paraId="2102B20B" w14:textId="0AB79BE1" w:rsidR="00F67142" w:rsidRPr="00BF1818" w:rsidRDefault="00F67142" w:rsidP="00396E73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BF1818">
              <w:rPr>
                <w:rFonts w:ascii="Times New Roman" w:hAnsi="Times New Roman" w:cs="Times New Roman"/>
                <w:b/>
                <w:bCs/>
              </w:rPr>
              <w:t>Værdi af frirejser</w:t>
            </w:r>
          </w:p>
        </w:tc>
        <w:tc>
          <w:tcPr>
            <w:tcW w:w="1175" w:type="dxa"/>
          </w:tcPr>
          <w:p w14:paraId="7F75086A" w14:textId="77777777" w:rsidR="00F67142" w:rsidRPr="00BF1818" w:rsidRDefault="00F67142" w:rsidP="00396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75" w:type="dxa"/>
          </w:tcPr>
          <w:p w14:paraId="47D0C218" w14:textId="77777777" w:rsidR="00F67142" w:rsidRPr="00BF1818" w:rsidRDefault="00F67142" w:rsidP="00396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Forhøjelse</w:t>
            </w:r>
          </w:p>
        </w:tc>
        <w:tc>
          <w:tcPr>
            <w:tcW w:w="1175" w:type="dxa"/>
            <w:noWrap/>
            <w:hideMark/>
          </w:tcPr>
          <w:p w14:paraId="2EB2E8AA" w14:textId="77777777" w:rsidR="00F67142" w:rsidRPr="00BF1818" w:rsidRDefault="00F67142" w:rsidP="00396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F67142" w:rsidRPr="00BF1818" w14:paraId="75944A2D" w14:textId="77777777" w:rsidTr="0039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14:paraId="7C5959D5" w14:textId="6F581D08" w:rsidR="00F67142" w:rsidRPr="00BF1818" w:rsidRDefault="00F67142" w:rsidP="00396E7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Voksen</w:t>
            </w:r>
          </w:p>
        </w:tc>
        <w:tc>
          <w:tcPr>
            <w:tcW w:w="1175" w:type="dxa"/>
          </w:tcPr>
          <w:p w14:paraId="0AD847DA" w14:textId="77777777" w:rsidR="00F67142" w:rsidRPr="00BF1818" w:rsidRDefault="00F67142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18.086</w:t>
            </w:r>
          </w:p>
        </w:tc>
        <w:tc>
          <w:tcPr>
            <w:tcW w:w="1175" w:type="dxa"/>
          </w:tcPr>
          <w:p w14:paraId="26493942" w14:textId="77777777" w:rsidR="00F67142" w:rsidRPr="00BF1818" w:rsidRDefault="00F67142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1175" w:type="dxa"/>
            <w:noWrap/>
            <w:hideMark/>
          </w:tcPr>
          <w:p w14:paraId="62266241" w14:textId="77777777" w:rsidR="00F67142" w:rsidRPr="00BF1818" w:rsidRDefault="00F67142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18.592</w:t>
            </w:r>
          </w:p>
        </w:tc>
      </w:tr>
      <w:tr w:rsidR="00F67142" w:rsidRPr="00BF1818" w14:paraId="70892C85" w14:textId="77777777" w:rsidTr="00396E7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14:paraId="54EE9622" w14:textId="68117342" w:rsidR="00F67142" w:rsidRPr="00BF1818" w:rsidRDefault="00F67142" w:rsidP="00396E7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Barn i alderen 2 til 11 år</w:t>
            </w:r>
          </w:p>
        </w:tc>
        <w:tc>
          <w:tcPr>
            <w:tcW w:w="1175" w:type="dxa"/>
          </w:tcPr>
          <w:p w14:paraId="600284DF" w14:textId="77777777" w:rsidR="00F67142" w:rsidRPr="00BF1818" w:rsidRDefault="00F67142" w:rsidP="00396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9.043</w:t>
            </w:r>
          </w:p>
        </w:tc>
        <w:tc>
          <w:tcPr>
            <w:tcW w:w="1175" w:type="dxa"/>
          </w:tcPr>
          <w:p w14:paraId="5BB035C7" w14:textId="77777777" w:rsidR="00F67142" w:rsidRPr="00BF1818" w:rsidRDefault="00F67142" w:rsidP="00396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75" w:type="dxa"/>
            <w:noWrap/>
            <w:hideMark/>
          </w:tcPr>
          <w:p w14:paraId="120BFA2C" w14:textId="77777777" w:rsidR="00F67142" w:rsidRPr="00BF1818" w:rsidRDefault="00F67142" w:rsidP="00396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9.296</w:t>
            </w:r>
          </w:p>
        </w:tc>
      </w:tr>
      <w:tr w:rsidR="00F67142" w:rsidRPr="00BF1818" w14:paraId="15B9BBA6" w14:textId="77777777" w:rsidTr="0039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14:paraId="597DCF8B" w14:textId="4A655473" w:rsidR="00F67142" w:rsidRPr="00BF1818" w:rsidRDefault="00F67142" w:rsidP="00396E7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18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Barn under 2 år</w:t>
            </w:r>
          </w:p>
        </w:tc>
        <w:tc>
          <w:tcPr>
            <w:tcW w:w="1175" w:type="dxa"/>
          </w:tcPr>
          <w:p w14:paraId="4A8FF09F" w14:textId="77777777" w:rsidR="00F67142" w:rsidRPr="00BF1818" w:rsidRDefault="00F67142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1.800</w:t>
            </w:r>
          </w:p>
        </w:tc>
        <w:tc>
          <w:tcPr>
            <w:tcW w:w="1175" w:type="dxa"/>
          </w:tcPr>
          <w:p w14:paraId="0F0ED789" w14:textId="77777777" w:rsidR="00F67142" w:rsidRPr="00BF1818" w:rsidRDefault="00F67142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5" w:type="dxa"/>
            <w:noWrap/>
            <w:hideMark/>
          </w:tcPr>
          <w:p w14:paraId="476F5918" w14:textId="77777777" w:rsidR="00F67142" w:rsidRPr="00BF1818" w:rsidRDefault="00F67142" w:rsidP="00396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F1818">
              <w:rPr>
                <w:color w:val="000000"/>
                <w:sz w:val="22"/>
                <w:szCs w:val="22"/>
              </w:rPr>
              <w:t>1.850</w:t>
            </w:r>
          </w:p>
        </w:tc>
      </w:tr>
    </w:tbl>
    <w:p w14:paraId="032FE0A8" w14:textId="77777777" w:rsidR="005C3DA2" w:rsidRPr="00BF1818" w:rsidRDefault="005C3DA2" w:rsidP="005C3DA2">
      <w:pPr>
        <w:pStyle w:val="Default"/>
        <w:rPr>
          <w:rFonts w:ascii="Times New Roman" w:hAnsi="Times New Roman" w:cs="Times New Roman"/>
        </w:rPr>
      </w:pPr>
    </w:p>
    <w:p w14:paraId="5ECA2D06" w14:textId="75FD8D88" w:rsidR="005C3DA2" w:rsidRPr="00BF1818" w:rsidRDefault="005C3DA2" w:rsidP="005C3DA2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</w:rPr>
      </w:pPr>
      <w:r w:rsidRPr="00BF1818">
        <w:rPr>
          <w:b/>
          <w:u w:val="single"/>
        </w:rPr>
        <w:t xml:space="preserve">Ad </w:t>
      </w:r>
      <w:r w:rsidR="00296262" w:rsidRPr="00BF1818">
        <w:rPr>
          <w:b/>
          <w:u w:val="single"/>
        </w:rPr>
        <w:t>E</w:t>
      </w:r>
      <w:r w:rsidRPr="00BF1818">
        <w:rPr>
          <w:b/>
          <w:u w:val="single"/>
        </w:rPr>
        <w:t xml:space="preserve">: </w:t>
      </w:r>
    </w:p>
    <w:p w14:paraId="0D2E2E87" w14:textId="7452008F" w:rsidR="005C3DA2" w:rsidRPr="00BF1818" w:rsidRDefault="005C3DA2" w:rsidP="005C3DA2">
      <w:pPr>
        <w:pStyle w:val="Default"/>
        <w:rPr>
          <w:rFonts w:ascii="Times New Roman" w:hAnsi="Times New Roman" w:cs="Times New Roman"/>
          <w:color w:val="auto"/>
        </w:rPr>
      </w:pPr>
      <w:r w:rsidRPr="00BF1818">
        <w:rPr>
          <w:rFonts w:ascii="Times New Roman" w:hAnsi="Times New Roman" w:cs="Times New Roman"/>
          <w:color w:val="auto"/>
        </w:rPr>
        <w:t>Naalakkersuisut har vedtaget, at hvor der ikke foreligger en regnskabsmæssig opgørelse af udgifterne ved dagpleje, kan der for indkomståret 202</w:t>
      </w:r>
      <w:r w:rsidR="004259FA" w:rsidRPr="00BF1818">
        <w:rPr>
          <w:rFonts w:ascii="Times New Roman" w:hAnsi="Times New Roman" w:cs="Times New Roman"/>
          <w:color w:val="auto"/>
        </w:rPr>
        <w:t>4</w:t>
      </w:r>
      <w:r w:rsidRPr="00BF1818">
        <w:rPr>
          <w:rFonts w:ascii="Times New Roman" w:hAnsi="Times New Roman" w:cs="Times New Roman"/>
          <w:color w:val="auto"/>
        </w:rPr>
        <w:t xml:space="preserve"> fratrækkes 1/5 af vederlaget, dog højst kr. 1.</w:t>
      </w:r>
      <w:r w:rsidR="004259FA" w:rsidRPr="00BF1818">
        <w:rPr>
          <w:rFonts w:ascii="Times New Roman" w:hAnsi="Times New Roman" w:cs="Times New Roman"/>
          <w:color w:val="auto"/>
        </w:rPr>
        <w:t>200</w:t>
      </w:r>
      <w:r w:rsidRPr="00BF1818">
        <w:rPr>
          <w:rFonts w:ascii="Times New Roman" w:hAnsi="Times New Roman" w:cs="Times New Roman"/>
          <w:color w:val="auto"/>
        </w:rPr>
        <w:t xml:space="preserve"> pr. barn pr. måned.</w:t>
      </w:r>
    </w:p>
    <w:p w14:paraId="4443A096" w14:textId="77777777" w:rsidR="005C3DA2" w:rsidRPr="00BF1818" w:rsidRDefault="005C3DA2" w:rsidP="005C3DA2">
      <w:pPr>
        <w:pStyle w:val="Default"/>
        <w:rPr>
          <w:rFonts w:ascii="Times New Roman" w:hAnsi="Times New Roman" w:cs="Times New Roman"/>
          <w:color w:val="auto"/>
        </w:rPr>
      </w:pPr>
    </w:p>
    <w:p w14:paraId="3FBBB860" w14:textId="1B2B80D6" w:rsidR="005C3DA2" w:rsidRPr="00BF1818" w:rsidRDefault="005C3DA2" w:rsidP="005C3DA2">
      <w:pPr>
        <w:tabs>
          <w:tab w:val="left" w:pos="-851"/>
          <w:tab w:val="left" w:pos="396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u w:val="single"/>
        </w:rPr>
      </w:pPr>
      <w:r w:rsidRPr="00BF1818">
        <w:rPr>
          <w:b/>
          <w:u w:val="single"/>
        </w:rPr>
        <w:t xml:space="preserve">Ad </w:t>
      </w:r>
      <w:r w:rsidR="00296262" w:rsidRPr="00BF1818">
        <w:rPr>
          <w:b/>
          <w:u w:val="single"/>
        </w:rPr>
        <w:t>F</w:t>
      </w:r>
      <w:r w:rsidRPr="00BF1818">
        <w:rPr>
          <w:b/>
          <w:u w:val="single"/>
        </w:rPr>
        <w:t xml:space="preserve">: </w:t>
      </w:r>
    </w:p>
    <w:p w14:paraId="3F056E8E" w14:textId="192207DC" w:rsidR="005C3DA2" w:rsidRPr="00BF1818" w:rsidRDefault="005C3DA2" w:rsidP="005C3DA2">
      <w:pPr>
        <w:pStyle w:val="Sidehoved"/>
        <w:tabs>
          <w:tab w:val="clear" w:pos="4819"/>
          <w:tab w:val="clear" w:pos="9638"/>
        </w:tabs>
      </w:pPr>
      <w:r w:rsidRPr="00BF1818">
        <w:t>Naalakkersuisut har vedtaget, at hvor der ikke foreligger en regnskabsmæssig opgørelse af udgifterne ved forplejning af tilbageholdte, kan der for indkomståret 202</w:t>
      </w:r>
      <w:r w:rsidR="004259FA" w:rsidRPr="00BF1818">
        <w:t>4</w:t>
      </w:r>
      <w:r w:rsidRPr="00BF1818">
        <w:t xml:space="preserve"> foretages et fradrag på kr. 16</w:t>
      </w:r>
      <w:r w:rsidR="004259FA" w:rsidRPr="00BF1818">
        <w:t>8</w:t>
      </w:r>
      <w:r w:rsidRPr="00BF1818">
        <w:t xml:space="preserve"> pr. tilbageholdte pr. døgn.</w:t>
      </w:r>
    </w:p>
    <w:p w14:paraId="6F841FC8" w14:textId="3AC43125" w:rsidR="00122EBF" w:rsidRPr="00BF1818" w:rsidRDefault="00122EBF" w:rsidP="005C3DA2">
      <w:pPr>
        <w:pStyle w:val="Sidehoved"/>
        <w:tabs>
          <w:tab w:val="clear" w:pos="4819"/>
          <w:tab w:val="clear" w:pos="9638"/>
        </w:tabs>
      </w:pPr>
    </w:p>
    <w:p w14:paraId="787F3F0F" w14:textId="77777777" w:rsidR="008447F0" w:rsidRPr="00BF1818" w:rsidRDefault="008447F0" w:rsidP="00170A55">
      <w:pPr>
        <w:pStyle w:val="Sidehoved"/>
        <w:tabs>
          <w:tab w:val="clear" w:pos="4819"/>
          <w:tab w:val="clear" w:pos="9638"/>
        </w:tabs>
      </w:pPr>
    </w:p>
    <w:sectPr w:rsidR="008447F0" w:rsidRPr="00BF1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BFDE" w14:textId="77777777" w:rsidR="002708B7" w:rsidRDefault="002708B7">
      <w:r>
        <w:separator/>
      </w:r>
    </w:p>
  </w:endnote>
  <w:endnote w:type="continuationSeparator" w:id="0">
    <w:p w14:paraId="1991F20D" w14:textId="77777777" w:rsidR="002708B7" w:rsidRDefault="002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24BC" w14:textId="77777777" w:rsidR="00550ACA" w:rsidRDefault="00550A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73BB" w14:textId="77777777" w:rsidR="00550ACA" w:rsidRDefault="00550AC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7741" w14:textId="77777777" w:rsidR="00550ACA" w:rsidRDefault="00550A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BC49" w14:textId="77777777" w:rsidR="002708B7" w:rsidRDefault="002708B7">
      <w:r>
        <w:separator/>
      </w:r>
    </w:p>
  </w:footnote>
  <w:footnote w:type="continuationSeparator" w:id="0">
    <w:p w14:paraId="1D4C3E03" w14:textId="77777777" w:rsidR="002708B7" w:rsidRDefault="0027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A0F" w14:textId="77777777" w:rsidR="00550ACA" w:rsidRDefault="00550A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FE4B" w14:textId="2A76324D" w:rsidR="00CF3334" w:rsidRDefault="00D039DB">
    <w:pPr>
      <w:pStyle w:val="Sidehoved"/>
      <w:tabs>
        <w:tab w:val="clear" w:pos="4819"/>
        <w:tab w:val="clear" w:pos="9638"/>
      </w:tabs>
      <w:ind w:firstLine="397"/>
      <w:rPr>
        <w:rFonts w:ascii="Garamond" w:eastAsia="SimSun" w:hAnsi="Garamond"/>
        <w:b/>
        <w:bCs/>
        <w:sz w:val="20"/>
      </w:rPr>
    </w:pPr>
    <w:r w:rsidRPr="00F115A1">
      <w:rPr>
        <w:noProof/>
        <w:sz w:val="20"/>
      </w:rPr>
      <w:drawing>
        <wp:anchor distT="0" distB="0" distL="114300" distR="114300" simplePos="0" relativeHeight="251663872" behindDoc="0" locked="0" layoutInCell="1" allowOverlap="1" wp14:anchorId="58339AA1" wp14:editId="15A75F74">
          <wp:simplePos x="0" y="0"/>
          <wp:positionH relativeFrom="column">
            <wp:posOffset>-220971</wp:posOffset>
          </wp:positionH>
          <wp:positionV relativeFrom="paragraph">
            <wp:posOffset>1905</wp:posOffset>
          </wp:positionV>
          <wp:extent cx="410192" cy="586740"/>
          <wp:effectExtent l="0" t="0" r="9525" b="381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0192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334" w:rsidRPr="00F115A1">
      <w:rPr>
        <w:sz w:val="20"/>
      </w:rPr>
      <w:t>Namminersorlutik Oqartussat - Grønlands Selvstyre</w:t>
    </w:r>
    <w:r w:rsidR="00CF3334">
      <w:rPr>
        <w:b/>
        <w:bCs/>
        <w:sz w:val="20"/>
      </w:rPr>
      <w:t xml:space="preserve"> </w:t>
    </w:r>
    <w:r w:rsidR="00CF3334">
      <w:rPr>
        <w:b/>
        <w:bCs/>
        <w:sz w:val="20"/>
      </w:rPr>
      <w:tab/>
    </w:r>
    <w:r w:rsidR="00CF3334">
      <w:rPr>
        <w:b/>
        <w:bCs/>
        <w:sz w:val="20"/>
      </w:rPr>
      <w:tab/>
      <w:t xml:space="preserve">      </w:t>
    </w:r>
    <w:r w:rsidR="00CF3334" w:rsidRPr="00B24AD1">
      <w:rPr>
        <w:b/>
        <w:bCs/>
        <w:sz w:val="28"/>
        <w:szCs w:val="28"/>
      </w:rPr>
      <w:t>Nalunaarut</w:t>
    </w:r>
    <w:r w:rsidR="00F115A1">
      <w:rPr>
        <w:b/>
        <w:bCs/>
        <w:sz w:val="28"/>
        <w:szCs w:val="28"/>
      </w:rPr>
      <w:t xml:space="preserve"> </w:t>
    </w:r>
    <w:r w:rsidR="00CF3334">
      <w:rPr>
        <w:rFonts w:eastAsia="SimSun"/>
        <w:b/>
        <w:bCs/>
        <w:sz w:val="28"/>
      </w:rPr>
      <w:t>/</w:t>
    </w:r>
    <w:r w:rsidR="00F115A1">
      <w:rPr>
        <w:rFonts w:eastAsia="SimSun"/>
        <w:b/>
        <w:bCs/>
        <w:sz w:val="28"/>
      </w:rPr>
      <w:t xml:space="preserve"> </w:t>
    </w:r>
    <w:r w:rsidR="00CF3334">
      <w:rPr>
        <w:rFonts w:eastAsia="SimSun"/>
        <w:b/>
        <w:bCs/>
        <w:sz w:val="28"/>
      </w:rPr>
      <w:t>Meddelelse</w:t>
    </w:r>
  </w:p>
  <w:p w14:paraId="69947EF3" w14:textId="5105A4E7" w:rsidR="00CF3334" w:rsidRDefault="00CF3334">
    <w:pPr>
      <w:pStyle w:val="Sidehoved"/>
      <w:tabs>
        <w:tab w:val="clear" w:pos="4819"/>
        <w:tab w:val="clear" w:pos="9638"/>
      </w:tabs>
      <w:rPr>
        <w:b/>
        <w:bCs/>
        <w:sz w:val="20"/>
      </w:rPr>
    </w:pPr>
  </w:p>
  <w:p w14:paraId="00D72C4A" w14:textId="3066E931" w:rsidR="00CF3334" w:rsidRDefault="00CF3334">
    <w:pPr>
      <w:pStyle w:val="Sidehoved"/>
      <w:tabs>
        <w:tab w:val="clear" w:pos="4819"/>
        <w:tab w:val="clear" w:pos="9638"/>
      </w:tabs>
      <w:spacing w:line="360" w:lineRule="auto"/>
      <w:rPr>
        <w:b/>
        <w:bCs/>
        <w:sz w:val="20"/>
      </w:rPr>
    </w:pPr>
    <w:r>
      <w:rPr>
        <w:b/>
        <w:bCs/>
        <w:sz w:val="20"/>
      </w:rPr>
      <w:t xml:space="preserve">       </w:t>
    </w:r>
    <w:r w:rsidRPr="00F115A1">
      <w:rPr>
        <w:sz w:val="20"/>
      </w:rPr>
      <w:t>Akileraartarnermut Aqutsisoqarfik – Skattes</w:t>
    </w:r>
    <w:r w:rsidR="007E7368" w:rsidRPr="00F115A1">
      <w:rPr>
        <w:sz w:val="20"/>
      </w:rPr>
      <w:t>t</w:t>
    </w:r>
    <w:r w:rsidR="00085F72" w:rsidRPr="00F115A1">
      <w:rPr>
        <w:sz w:val="20"/>
      </w:rPr>
      <w:t>yrelsen</w:t>
    </w:r>
    <w:r w:rsidR="00BB3B08">
      <w:rPr>
        <w:b/>
        <w:bCs/>
        <w:sz w:val="20"/>
      </w:rPr>
      <w:tab/>
    </w:r>
    <w:r w:rsidR="00085F72">
      <w:rPr>
        <w:b/>
        <w:bCs/>
        <w:sz w:val="20"/>
      </w:rPr>
      <w:t xml:space="preserve">Nr.: </w:t>
    </w:r>
    <w:r w:rsidR="00085F72">
      <w:rPr>
        <w:b/>
        <w:bCs/>
        <w:sz w:val="20"/>
      </w:rPr>
      <w:tab/>
    </w:r>
    <w:r w:rsidR="00085F72">
      <w:rPr>
        <w:b/>
        <w:bCs/>
        <w:sz w:val="20"/>
      </w:rPr>
      <w:tab/>
      <w:t xml:space="preserve">      </w:t>
    </w:r>
    <w:r w:rsidR="00AC0D77">
      <w:rPr>
        <w:b/>
        <w:bCs/>
        <w:sz w:val="20"/>
      </w:rPr>
      <w:t xml:space="preserve"> </w:t>
    </w:r>
    <w:r w:rsidR="00085F72">
      <w:rPr>
        <w:b/>
        <w:bCs/>
        <w:sz w:val="20"/>
      </w:rPr>
      <w:t xml:space="preserve"> </w:t>
    </w:r>
    <w:r w:rsidR="00BB3B08">
      <w:rPr>
        <w:b/>
        <w:bCs/>
        <w:sz w:val="20"/>
      </w:rPr>
      <w:tab/>
    </w:r>
    <w:r w:rsidR="00085F72">
      <w:rPr>
        <w:b/>
        <w:bCs/>
        <w:sz w:val="20"/>
      </w:rPr>
      <w:t xml:space="preserve"> </w:t>
    </w:r>
    <w:r w:rsidR="00550ACA">
      <w:rPr>
        <w:b/>
        <w:bCs/>
        <w:sz w:val="20"/>
      </w:rPr>
      <w:t>158</w:t>
    </w:r>
  </w:p>
  <w:p w14:paraId="59CAB799" w14:textId="74469AB9" w:rsidR="00CF3334" w:rsidRPr="00F115A1" w:rsidRDefault="00F640E6">
    <w:pPr>
      <w:pStyle w:val="Sidehoved"/>
      <w:tabs>
        <w:tab w:val="clear" w:pos="4819"/>
        <w:tab w:val="clear" w:pos="9638"/>
      </w:tabs>
      <w:spacing w:line="360" w:lineRule="auto"/>
      <w:rPr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 w:rsidRPr="00BB3B08">
      <w:rPr>
        <w:b/>
        <w:bCs/>
        <w:sz w:val="20"/>
      </w:rPr>
      <w:t>Ulloq / Dato:</w:t>
    </w:r>
    <w:r w:rsidRPr="00F115A1">
      <w:rPr>
        <w:sz w:val="20"/>
      </w:rPr>
      <w:t xml:space="preserve">       </w:t>
    </w:r>
    <w:r w:rsidR="00AC0D77" w:rsidRPr="00F115A1">
      <w:rPr>
        <w:sz w:val="20"/>
      </w:rPr>
      <w:t xml:space="preserve">  </w:t>
    </w:r>
    <w:r w:rsidR="00876575">
      <w:rPr>
        <w:sz w:val="20"/>
      </w:rPr>
      <w:t xml:space="preserve">  </w:t>
    </w:r>
    <w:r w:rsidR="00150F58">
      <w:rPr>
        <w:sz w:val="20"/>
      </w:rPr>
      <w:t>4</w:t>
    </w:r>
    <w:r w:rsidR="00876575">
      <w:rPr>
        <w:sz w:val="20"/>
      </w:rPr>
      <w:t xml:space="preserve">. </w:t>
    </w:r>
    <w:r w:rsidR="00150F58">
      <w:rPr>
        <w:sz w:val="20"/>
      </w:rPr>
      <w:t>oktobari</w:t>
    </w:r>
    <w:r w:rsidR="00876575">
      <w:rPr>
        <w:sz w:val="20"/>
      </w:rPr>
      <w:t xml:space="preserve"> </w:t>
    </w:r>
    <w:r w:rsidR="00F115A1" w:rsidRPr="00F115A1">
      <w:rPr>
        <w:sz w:val="20"/>
      </w:rPr>
      <w:t>202</w:t>
    </w:r>
    <w:r w:rsidR="00876575">
      <w:rPr>
        <w:sz w:val="20"/>
      </w:rPr>
      <w:t>3</w:t>
    </w:r>
    <w:r w:rsidR="00BB3B08">
      <w:rPr>
        <w:sz w:val="20"/>
      </w:rPr>
      <w:t xml:space="preserve">, red. </w:t>
    </w:r>
    <w:r w:rsidR="00045DF1">
      <w:rPr>
        <w:sz w:val="20"/>
      </w:rPr>
      <w:t>3</w:t>
    </w:r>
    <w:r w:rsidR="00BB3B08">
      <w:rPr>
        <w:sz w:val="20"/>
      </w:rPr>
      <w:t>. okt. 2024</w:t>
    </w:r>
  </w:p>
  <w:p w14:paraId="50F24292" w14:textId="6B9AF4A1" w:rsidR="00CF3334" w:rsidRPr="00F115A1" w:rsidRDefault="00CF3334">
    <w:pPr>
      <w:pStyle w:val="Sidehoved"/>
      <w:pBdr>
        <w:bottom w:val="single" w:sz="4" w:space="1" w:color="auto"/>
      </w:pBdr>
      <w:tabs>
        <w:tab w:val="clear" w:pos="4819"/>
        <w:tab w:val="clear" w:pos="9638"/>
      </w:tabs>
      <w:spacing w:line="360" w:lineRule="auto"/>
      <w:rPr>
        <w:sz w:val="20"/>
      </w:rPr>
    </w:pPr>
    <w:r w:rsidRPr="00F115A1">
      <w:rPr>
        <w:sz w:val="20"/>
      </w:rPr>
      <w:tab/>
    </w:r>
    <w:r w:rsidRPr="00F115A1">
      <w:rPr>
        <w:sz w:val="20"/>
      </w:rPr>
      <w:tab/>
    </w:r>
    <w:r w:rsidRPr="00F115A1">
      <w:rPr>
        <w:sz w:val="20"/>
      </w:rPr>
      <w:tab/>
    </w:r>
    <w:r w:rsidRPr="00F115A1">
      <w:rPr>
        <w:sz w:val="20"/>
      </w:rPr>
      <w:tab/>
    </w:r>
    <w:r w:rsidRPr="00BB3B08">
      <w:rPr>
        <w:b/>
        <w:bCs/>
        <w:sz w:val="20"/>
      </w:rPr>
      <w:t>Qupp. / Side:</w:t>
    </w:r>
    <w:r w:rsidR="00AC0D77" w:rsidRPr="00F115A1">
      <w:rPr>
        <w:sz w:val="20"/>
      </w:rPr>
      <w:t xml:space="preserve">                        </w:t>
    </w:r>
    <w:r w:rsidRPr="00F115A1">
      <w:rPr>
        <w:sz w:val="20"/>
      </w:rPr>
      <w:t xml:space="preserve"> </w:t>
    </w:r>
    <w:r w:rsidR="000A2D15">
      <w:rPr>
        <w:sz w:val="20"/>
      </w:rPr>
      <w:t xml:space="preserve"> </w:t>
    </w:r>
    <w:r w:rsidRPr="00F115A1">
      <w:rPr>
        <w:sz w:val="20"/>
      </w:rPr>
      <w:t xml:space="preserve"> </w:t>
    </w:r>
    <w:r w:rsidR="0041011B" w:rsidRPr="00F115A1">
      <w:rPr>
        <w:sz w:val="20"/>
      </w:rPr>
      <w:t xml:space="preserve"> </w:t>
    </w:r>
    <w:r w:rsidR="00D039DB" w:rsidRPr="00F115A1">
      <w:rPr>
        <w:sz w:val="20"/>
      </w:rPr>
      <w:t xml:space="preserve"> </w:t>
    </w:r>
    <w:r w:rsidR="00BB3B08">
      <w:rPr>
        <w:sz w:val="20"/>
      </w:rPr>
      <w:tab/>
    </w:r>
    <w:r w:rsidR="00BB3B08">
      <w:rPr>
        <w:sz w:val="20"/>
      </w:rPr>
      <w:tab/>
    </w:r>
    <w:r w:rsidRPr="00F115A1">
      <w:rPr>
        <w:sz w:val="20"/>
      </w:rPr>
      <w:t xml:space="preserve"> </w:t>
    </w:r>
    <w:r w:rsidRPr="00F115A1">
      <w:rPr>
        <w:sz w:val="20"/>
      </w:rPr>
      <w:fldChar w:fldCharType="begin"/>
    </w:r>
    <w:r w:rsidRPr="00F115A1">
      <w:rPr>
        <w:sz w:val="20"/>
      </w:rPr>
      <w:instrText xml:space="preserve"> PAGE </w:instrText>
    </w:r>
    <w:r w:rsidRPr="00F115A1">
      <w:rPr>
        <w:sz w:val="20"/>
      </w:rPr>
      <w:fldChar w:fldCharType="separate"/>
    </w:r>
    <w:r w:rsidR="00AC0D77" w:rsidRPr="00F115A1">
      <w:rPr>
        <w:noProof/>
        <w:sz w:val="20"/>
      </w:rPr>
      <w:t>1</w:t>
    </w:r>
    <w:r w:rsidRPr="00F115A1">
      <w:rPr>
        <w:sz w:val="20"/>
      </w:rPr>
      <w:fldChar w:fldCharType="end"/>
    </w:r>
    <w:r w:rsidR="00544BA4" w:rsidRPr="00F115A1">
      <w:rPr>
        <w:sz w:val="20"/>
      </w:rPr>
      <w:t xml:space="preserve"> af </w:t>
    </w:r>
    <w:r w:rsidR="00876575">
      <w:rPr>
        <w:sz w:val="20"/>
      </w:rPr>
      <w:t>6</w:t>
    </w:r>
  </w:p>
  <w:p w14:paraId="78F0C61C" w14:textId="77777777" w:rsidR="00CF3334" w:rsidRDefault="00CF3334">
    <w:pPr>
      <w:pStyle w:val="Sidehoved"/>
      <w:tabs>
        <w:tab w:val="clear" w:pos="4819"/>
        <w:tab w:val="clear" w:pos="9638"/>
      </w:tabs>
      <w:rPr>
        <w:b/>
        <w:bCs/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06BF" w14:textId="77777777" w:rsidR="00550ACA" w:rsidRDefault="00550A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306"/>
    <w:multiLevelType w:val="hybridMultilevel"/>
    <w:tmpl w:val="1ED2BE18"/>
    <w:lvl w:ilvl="0" w:tplc="973C7C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BB9"/>
    <w:multiLevelType w:val="hybridMultilevel"/>
    <w:tmpl w:val="394EE558"/>
    <w:lvl w:ilvl="0" w:tplc="F4A86B2E">
      <w:numFmt w:val="bullet"/>
      <w:lvlText w:val="-"/>
      <w:lvlJc w:val="left"/>
      <w:pPr>
        <w:ind w:left="172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10CA4FB2"/>
    <w:multiLevelType w:val="hybridMultilevel"/>
    <w:tmpl w:val="F120FBE0"/>
    <w:lvl w:ilvl="0" w:tplc="3F3427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3DF2"/>
    <w:multiLevelType w:val="hybridMultilevel"/>
    <w:tmpl w:val="C1C8A9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606C7"/>
    <w:multiLevelType w:val="hybridMultilevel"/>
    <w:tmpl w:val="051C623E"/>
    <w:lvl w:ilvl="0" w:tplc="99C0F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2A97"/>
    <w:multiLevelType w:val="hybridMultilevel"/>
    <w:tmpl w:val="C1C8A9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157A"/>
    <w:multiLevelType w:val="hybridMultilevel"/>
    <w:tmpl w:val="197AE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6892"/>
    <w:multiLevelType w:val="hybridMultilevel"/>
    <w:tmpl w:val="01A0C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6309">
    <w:abstractNumId w:val="5"/>
  </w:num>
  <w:num w:numId="2" w16cid:durableId="429355783">
    <w:abstractNumId w:val="3"/>
  </w:num>
  <w:num w:numId="3" w16cid:durableId="158927070">
    <w:abstractNumId w:val="0"/>
  </w:num>
  <w:num w:numId="4" w16cid:durableId="1699818847">
    <w:abstractNumId w:val="4"/>
  </w:num>
  <w:num w:numId="5" w16cid:durableId="1775975993">
    <w:abstractNumId w:val="6"/>
  </w:num>
  <w:num w:numId="6" w16cid:durableId="124390122">
    <w:abstractNumId w:val="1"/>
  </w:num>
  <w:num w:numId="7" w16cid:durableId="1947730694">
    <w:abstractNumId w:val="2"/>
  </w:num>
  <w:num w:numId="8" w16cid:durableId="254748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D4"/>
    <w:rsid w:val="00005A23"/>
    <w:rsid w:val="00012D8A"/>
    <w:rsid w:val="000330CC"/>
    <w:rsid w:val="0003555C"/>
    <w:rsid w:val="00035CEA"/>
    <w:rsid w:val="00045DF1"/>
    <w:rsid w:val="00054DD2"/>
    <w:rsid w:val="00077C42"/>
    <w:rsid w:val="00080F77"/>
    <w:rsid w:val="00085F72"/>
    <w:rsid w:val="00087AF1"/>
    <w:rsid w:val="0009103E"/>
    <w:rsid w:val="000961E0"/>
    <w:rsid w:val="000A2D15"/>
    <w:rsid w:val="000B1CCD"/>
    <w:rsid w:val="000B29DB"/>
    <w:rsid w:val="000B6972"/>
    <w:rsid w:val="000B7511"/>
    <w:rsid w:val="000D0ECB"/>
    <w:rsid w:val="000D1DC5"/>
    <w:rsid w:val="000D3756"/>
    <w:rsid w:val="000D7E65"/>
    <w:rsid w:val="000E3374"/>
    <w:rsid w:val="000F0B13"/>
    <w:rsid w:val="000F1E0D"/>
    <w:rsid w:val="000F328C"/>
    <w:rsid w:val="000F44DE"/>
    <w:rsid w:val="00122074"/>
    <w:rsid w:val="00122EBF"/>
    <w:rsid w:val="00130D96"/>
    <w:rsid w:val="0013216D"/>
    <w:rsid w:val="0014552A"/>
    <w:rsid w:val="00150F58"/>
    <w:rsid w:val="00153BB1"/>
    <w:rsid w:val="001577D3"/>
    <w:rsid w:val="001679A0"/>
    <w:rsid w:val="00170A55"/>
    <w:rsid w:val="00170AF6"/>
    <w:rsid w:val="00172929"/>
    <w:rsid w:val="0017462E"/>
    <w:rsid w:val="00177189"/>
    <w:rsid w:val="0018248E"/>
    <w:rsid w:val="00190EA6"/>
    <w:rsid w:val="001B00C9"/>
    <w:rsid w:val="001B5F73"/>
    <w:rsid w:val="001B7B00"/>
    <w:rsid w:val="001C77B6"/>
    <w:rsid w:val="001D432B"/>
    <w:rsid w:val="001E5CD0"/>
    <w:rsid w:val="001F67AA"/>
    <w:rsid w:val="002022D2"/>
    <w:rsid w:val="00204672"/>
    <w:rsid w:val="00204B38"/>
    <w:rsid w:val="00204C6E"/>
    <w:rsid w:val="00225B91"/>
    <w:rsid w:val="00233815"/>
    <w:rsid w:val="00241E28"/>
    <w:rsid w:val="00244FD5"/>
    <w:rsid w:val="00245F0B"/>
    <w:rsid w:val="00246DC0"/>
    <w:rsid w:val="0024755A"/>
    <w:rsid w:val="00250FBC"/>
    <w:rsid w:val="002708B7"/>
    <w:rsid w:val="00270FB8"/>
    <w:rsid w:val="002846E8"/>
    <w:rsid w:val="00292DCF"/>
    <w:rsid w:val="00294F0F"/>
    <w:rsid w:val="00296262"/>
    <w:rsid w:val="002A36EF"/>
    <w:rsid w:val="002B1401"/>
    <w:rsid w:val="002C07FF"/>
    <w:rsid w:val="002D4ADB"/>
    <w:rsid w:val="002E3686"/>
    <w:rsid w:val="002F6BAB"/>
    <w:rsid w:val="002F7B49"/>
    <w:rsid w:val="00302139"/>
    <w:rsid w:val="00305563"/>
    <w:rsid w:val="00305927"/>
    <w:rsid w:val="00305B36"/>
    <w:rsid w:val="003068AC"/>
    <w:rsid w:val="0030751F"/>
    <w:rsid w:val="00311B4D"/>
    <w:rsid w:val="0032622D"/>
    <w:rsid w:val="003303C5"/>
    <w:rsid w:val="003457DA"/>
    <w:rsid w:val="00357CA3"/>
    <w:rsid w:val="00364ECE"/>
    <w:rsid w:val="003A4EC8"/>
    <w:rsid w:val="003B459D"/>
    <w:rsid w:val="003C4385"/>
    <w:rsid w:val="003C59A9"/>
    <w:rsid w:val="003D0AF3"/>
    <w:rsid w:val="003D4D1A"/>
    <w:rsid w:val="003D56B3"/>
    <w:rsid w:val="003E2E42"/>
    <w:rsid w:val="003E5D05"/>
    <w:rsid w:val="003E6FBE"/>
    <w:rsid w:val="003E7A10"/>
    <w:rsid w:val="004063CB"/>
    <w:rsid w:val="0041011B"/>
    <w:rsid w:val="0041508F"/>
    <w:rsid w:val="004259FA"/>
    <w:rsid w:val="00426069"/>
    <w:rsid w:val="00440A93"/>
    <w:rsid w:val="00442F55"/>
    <w:rsid w:val="004550FE"/>
    <w:rsid w:val="00455A30"/>
    <w:rsid w:val="00476D15"/>
    <w:rsid w:val="004914E9"/>
    <w:rsid w:val="004954F7"/>
    <w:rsid w:val="004A5491"/>
    <w:rsid w:val="004B41BC"/>
    <w:rsid w:val="004B61FE"/>
    <w:rsid w:val="004D02F2"/>
    <w:rsid w:val="004E3D13"/>
    <w:rsid w:val="004E7D24"/>
    <w:rsid w:val="004F54D3"/>
    <w:rsid w:val="005126A4"/>
    <w:rsid w:val="00532671"/>
    <w:rsid w:val="00532F8A"/>
    <w:rsid w:val="00543BF4"/>
    <w:rsid w:val="00544BA4"/>
    <w:rsid w:val="005458C0"/>
    <w:rsid w:val="00550ACA"/>
    <w:rsid w:val="00555CA3"/>
    <w:rsid w:val="00583C37"/>
    <w:rsid w:val="00595107"/>
    <w:rsid w:val="005A03E0"/>
    <w:rsid w:val="005B2B85"/>
    <w:rsid w:val="005B5DD4"/>
    <w:rsid w:val="005C3DA2"/>
    <w:rsid w:val="005C57A6"/>
    <w:rsid w:val="005D4B58"/>
    <w:rsid w:val="005E5814"/>
    <w:rsid w:val="005F4ACE"/>
    <w:rsid w:val="005F5FED"/>
    <w:rsid w:val="00600F25"/>
    <w:rsid w:val="00605408"/>
    <w:rsid w:val="00620DCA"/>
    <w:rsid w:val="00634D8E"/>
    <w:rsid w:val="006377C8"/>
    <w:rsid w:val="006455EA"/>
    <w:rsid w:val="00646884"/>
    <w:rsid w:val="006476BE"/>
    <w:rsid w:val="0065644D"/>
    <w:rsid w:val="00667775"/>
    <w:rsid w:val="00674431"/>
    <w:rsid w:val="00676181"/>
    <w:rsid w:val="00686562"/>
    <w:rsid w:val="006B3DE2"/>
    <w:rsid w:val="006B5D4E"/>
    <w:rsid w:val="006C0562"/>
    <w:rsid w:val="006C3F3C"/>
    <w:rsid w:val="006D5CB0"/>
    <w:rsid w:val="006F29BD"/>
    <w:rsid w:val="006F40FD"/>
    <w:rsid w:val="00705632"/>
    <w:rsid w:val="00707767"/>
    <w:rsid w:val="00717331"/>
    <w:rsid w:val="007257C0"/>
    <w:rsid w:val="00733FC5"/>
    <w:rsid w:val="00752D12"/>
    <w:rsid w:val="007573CE"/>
    <w:rsid w:val="007632FF"/>
    <w:rsid w:val="00764DDE"/>
    <w:rsid w:val="0076599F"/>
    <w:rsid w:val="00790689"/>
    <w:rsid w:val="00791C5C"/>
    <w:rsid w:val="00795471"/>
    <w:rsid w:val="007B03DF"/>
    <w:rsid w:val="007B6CC1"/>
    <w:rsid w:val="007C6F9C"/>
    <w:rsid w:val="007D0878"/>
    <w:rsid w:val="007E7368"/>
    <w:rsid w:val="007F4FC1"/>
    <w:rsid w:val="00810022"/>
    <w:rsid w:val="008148EA"/>
    <w:rsid w:val="00815358"/>
    <w:rsid w:val="008169F5"/>
    <w:rsid w:val="008265A7"/>
    <w:rsid w:val="00826765"/>
    <w:rsid w:val="0083213D"/>
    <w:rsid w:val="008447F0"/>
    <w:rsid w:val="00855404"/>
    <w:rsid w:val="00857022"/>
    <w:rsid w:val="00871658"/>
    <w:rsid w:val="00875642"/>
    <w:rsid w:val="00876575"/>
    <w:rsid w:val="00881BBB"/>
    <w:rsid w:val="00883B36"/>
    <w:rsid w:val="008930D7"/>
    <w:rsid w:val="00896E80"/>
    <w:rsid w:val="0089770A"/>
    <w:rsid w:val="008977FF"/>
    <w:rsid w:val="008B127F"/>
    <w:rsid w:val="008B1E5A"/>
    <w:rsid w:val="008C1ABB"/>
    <w:rsid w:val="008D08D5"/>
    <w:rsid w:val="008D2F56"/>
    <w:rsid w:val="008F4331"/>
    <w:rsid w:val="00900E5D"/>
    <w:rsid w:val="0090538E"/>
    <w:rsid w:val="00916306"/>
    <w:rsid w:val="00920D33"/>
    <w:rsid w:val="00923292"/>
    <w:rsid w:val="009236D4"/>
    <w:rsid w:val="00933A5B"/>
    <w:rsid w:val="009479FA"/>
    <w:rsid w:val="00950235"/>
    <w:rsid w:val="009522CF"/>
    <w:rsid w:val="00956969"/>
    <w:rsid w:val="00957AE9"/>
    <w:rsid w:val="0096442B"/>
    <w:rsid w:val="009820AB"/>
    <w:rsid w:val="0098321C"/>
    <w:rsid w:val="00984CF6"/>
    <w:rsid w:val="00985388"/>
    <w:rsid w:val="00995F7E"/>
    <w:rsid w:val="009A44E1"/>
    <w:rsid w:val="009A47F9"/>
    <w:rsid w:val="009C64F8"/>
    <w:rsid w:val="009D51C9"/>
    <w:rsid w:val="009F1833"/>
    <w:rsid w:val="009F37D7"/>
    <w:rsid w:val="009F55FC"/>
    <w:rsid w:val="00A0037B"/>
    <w:rsid w:val="00A279A7"/>
    <w:rsid w:val="00A37F53"/>
    <w:rsid w:val="00A437E5"/>
    <w:rsid w:val="00A5758C"/>
    <w:rsid w:val="00A62912"/>
    <w:rsid w:val="00A73F93"/>
    <w:rsid w:val="00A82B7F"/>
    <w:rsid w:val="00A84CF8"/>
    <w:rsid w:val="00A97A7C"/>
    <w:rsid w:val="00AB3F34"/>
    <w:rsid w:val="00AB6F0B"/>
    <w:rsid w:val="00AC0D77"/>
    <w:rsid w:val="00AC1FF7"/>
    <w:rsid w:val="00AC59AE"/>
    <w:rsid w:val="00AD1BF9"/>
    <w:rsid w:val="00AE4A2B"/>
    <w:rsid w:val="00AE5E40"/>
    <w:rsid w:val="00AE5FA0"/>
    <w:rsid w:val="00AF06D9"/>
    <w:rsid w:val="00AF10F2"/>
    <w:rsid w:val="00AF3E64"/>
    <w:rsid w:val="00AF61AF"/>
    <w:rsid w:val="00B00FD0"/>
    <w:rsid w:val="00B06D2C"/>
    <w:rsid w:val="00B14EE9"/>
    <w:rsid w:val="00B20B02"/>
    <w:rsid w:val="00B24AD1"/>
    <w:rsid w:val="00B26877"/>
    <w:rsid w:val="00B3296F"/>
    <w:rsid w:val="00B54B64"/>
    <w:rsid w:val="00B56FFB"/>
    <w:rsid w:val="00B74813"/>
    <w:rsid w:val="00B756AE"/>
    <w:rsid w:val="00BA5D18"/>
    <w:rsid w:val="00BB3B08"/>
    <w:rsid w:val="00BB5301"/>
    <w:rsid w:val="00BB75A1"/>
    <w:rsid w:val="00BC1E6A"/>
    <w:rsid w:val="00BF1818"/>
    <w:rsid w:val="00BF1FB6"/>
    <w:rsid w:val="00C014B0"/>
    <w:rsid w:val="00C032D3"/>
    <w:rsid w:val="00C10353"/>
    <w:rsid w:val="00C176C1"/>
    <w:rsid w:val="00C2208C"/>
    <w:rsid w:val="00C3128B"/>
    <w:rsid w:val="00C32238"/>
    <w:rsid w:val="00C47990"/>
    <w:rsid w:val="00C50747"/>
    <w:rsid w:val="00C5757E"/>
    <w:rsid w:val="00C72BDC"/>
    <w:rsid w:val="00C72D79"/>
    <w:rsid w:val="00C92A62"/>
    <w:rsid w:val="00C94570"/>
    <w:rsid w:val="00CA5282"/>
    <w:rsid w:val="00CA5ED0"/>
    <w:rsid w:val="00CA6DAE"/>
    <w:rsid w:val="00CB1D21"/>
    <w:rsid w:val="00CB2953"/>
    <w:rsid w:val="00CB6B25"/>
    <w:rsid w:val="00CD0C25"/>
    <w:rsid w:val="00CD1E9C"/>
    <w:rsid w:val="00CD4D45"/>
    <w:rsid w:val="00CE7601"/>
    <w:rsid w:val="00CE7B33"/>
    <w:rsid w:val="00CF2954"/>
    <w:rsid w:val="00CF3334"/>
    <w:rsid w:val="00CF4C31"/>
    <w:rsid w:val="00D039DB"/>
    <w:rsid w:val="00D043A6"/>
    <w:rsid w:val="00D32089"/>
    <w:rsid w:val="00D465D4"/>
    <w:rsid w:val="00D576A0"/>
    <w:rsid w:val="00D626C3"/>
    <w:rsid w:val="00D62CDD"/>
    <w:rsid w:val="00D7077E"/>
    <w:rsid w:val="00D707E2"/>
    <w:rsid w:val="00D72479"/>
    <w:rsid w:val="00D72577"/>
    <w:rsid w:val="00D7260C"/>
    <w:rsid w:val="00D753FF"/>
    <w:rsid w:val="00D77F70"/>
    <w:rsid w:val="00D826D0"/>
    <w:rsid w:val="00D85496"/>
    <w:rsid w:val="00D85E0C"/>
    <w:rsid w:val="00D94F7E"/>
    <w:rsid w:val="00D957D3"/>
    <w:rsid w:val="00DA258E"/>
    <w:rsid w:val="00DA7D0C"/>
    <w:rsid w:val="00DB6A26"/>
    <w:rsid w:val="00DC51F7"/>
    <w:rsid w:val="00DE1556"/>
    <w:rsid w:val="00DF167C"/>
    <w:rsid w:val="00DF6F62"/>
    <w:rsid w:val="00DF7B58"/>
    <w:rsid w:val="00E25959"/>
    <w:rsid w:val="00E25D97"/>
    <w:rsid w:val="00E27F8A"/>
    <w:rsid w:val="00E33A18"/>
    <w:rsid w:val="00E77094"/>
    <w:rsid w:val="00E80915"/>
    <w:rsid w:val="00E84638"/>
    <w:rsid w:val="00E848CE"/>
    <w:rsid w:val="00E8531D"/>
    <w:rsid w:val="00E91AD5"/>
    <w:rsid w:val="00E95298"/>
    <w:rsid w:val="00EA3B5B"/>
    <w:rsid w:val="00EB6C39"/>
    <w:rsid w:val="00ED6C11"/>
    <w:rsid w:val="00EF036F"/>
    <w:rsid w:val="00EF1B79"/>
    <w:rsid w:val="00F02993"/>
    <w:rsid w:val="00F115A1"/>
    <w:rsid w:val="00F159BE"/>
    <w:rsid w:val="00F16CB5"/>
    <w:rsid w:val="00F41197"/>
    <w:rsid w:val="00F42896"/>
    <w:rsid w:val="00F47962"/>
    <w:rsid w:val="00F50DAF"/>
    <w:rsid w:val="00F615E8"/>
    <w:rsid w:val="00F63EB9"/>
    <w:rsid w:val="00F640E6"/>
    <w:rsid w:val="00F67142"/>
    <w:rsid w:val="00F71175"/>
    <w:rsid w:val="00F7178A"/>
    <w:rsid w:val="00F732DC"/>
    <w:rsid w:val="00F82576"/>
    <w:rsid w:val="00FA09BD"/>
    <w:rsid w:val="00FA3F9C"/>
    <w:rsid w:val="00FB7336"/>
    <w:rsid w:val="00FC323D"/>
    <w:rsid w:val="00FC4B4B"/>
    <w:rsid w:val="00FC51A7"/>
    <w:rsid w:val="00FE6675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1F986"/>
  <w15:docId w15:val="{52FF590D-9762-46C1-9B79-5BDE030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D4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9236D4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9236D4"/>
    <w:pPr>
      <w:tabs>
        <w:tab w:val="left" w:pos="-851"/>
        <w:tab w:val="left" w:pos="0"/>
        <w:tab w:val="left" w:pos="1360"/>
        <w:tab w:val="left" w:pos="1700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  <w:tab w:val="left" w:pos="10210"/>
        <w:tab w:val="left" w:pos="11060"/>
        <w:tab w:val="left" w:pos="11911"/>
        <w:tab w:val="left" w:pos="12762"/>
        <w:tab w:val="left" w:pos="13613"/>
        <w:tab w:val="left" w:pos="14464"/>
        <w:tab w:val="left" w:pos="15314"/>
        <w:tab w:val="left" w:pos="16165"/>
        <w:tab w:val="left" w:pos="17016"/>
        <w:tab w:val="left" w:pos="17867"/>
        <w:tab w:val="left" w:pos="18718"/>
        <w:tab w:val="left" w:pos="19568"/>
        <w:tab w:val="left" w:pos="20419"/>
        <w:tab w:val="left" w:pos="21270"/>
        <w:tab w:val="left" w:pos="22121"/>
        <w:tab w:val="left" w:pos="22972"/>
        <w:tab w:val="left" w:pos="23822"/>
        <w:tab w:val="left" w:pos="24673"/>
        <w:tab w:val="left" w:pos="25524"/>
        <w:tab w:val="left" w:pos="26375"/>
        <w:tab w:val="left" w:pos="27226"/>
        <w:tab w:val="left" w:pos="28076"/>
        <w:tab w:val="left" w:pos="28927"/>
        <w:tab w:val="left" w:pos="29778"/>
        <w:tab w:val="left" w:pos="30629"/>
        <w:tab w:val="left" w:pos="31480"/>
      </w:tabs>
      <w:spacing w:line="287" w:lineRule="auto"/>
    </w:pPr>
    <w:rPr>
      <w:b/>
      <w:u w:val="single"/>
    </w:rPr>
  </w:style>
  <w:style w:type="paragraph" w:styleId="Brdtekst2">
    <w:name w:val="Body Text 2"/>
    <w:basedOn w:val="Normal"/>
    <w:rsid w:val="009236D4"/>
    <w:pPr>
      <w:tabs>
        <w:tab w:val="left" w:pos="-851"/>
        <w:tab w:val="left" w:pos="0"/>
        <w:tab w:val="left" w:pos="1360"/>
        <w:tab w:val="left" w:pos="1700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  <w:tab w:val="left" w:pos="10210"/>
        <w:tab w:val="left" w:pos="11060"/>
        <w:tab w:val="left" w:pos="11911"/>
        <w:tab w:val="left" w:pos="12762"/>
        <w:tab w:val="left" w:pos="13613"/>
        <w:tab w:val="left" w:pos="14464"/>
        <w:tab w:val="left" w:pos="15314"/>
        <w:tab w:val="left" w:pos="16165"/>
        <w:tab w:val="left" w:pos="17016"/>
        <w:tab w:val="left" w:pos="17867"/>
        <w:tab w:val="left" w:pos="18718"/>
        <w:tab w:val="left" w:pos="19568"/>
        <w:tab w:val="left" w:pos="20419"/>
        <w:tab w:val="left" w:pos="21270"/>
        <w:tab w:val="left" w:pos="22121"/>
        <w:tab w:val="left" w:pos="22972"/>
        <w:tab w:val="left" w:pos="23822"/>
        <w:tab w:val="left" w:pos="24673"/>
        <w:tab w:val="left" w:pos="25524"/>
        <w:tab w:val="left" w:pos="26375"/>
        <w:tab w:val="left" w:pos="27226"/>
        <w:tab w:val="left" w:pos="28076"/>
        <w:tab w:val="left" w:pos="28927"/>
        <w:tab w:val="left" w:pos="29778"/>
        <w:tab w:val="left" w:pos="30629"/>
        <w:tab w:val="left" w:pos="31480"/>
      </w:tabs>
      <w:spacing w:line="287" w:lineRule="auto"/>
      <w:jc w:val="center"/>
    </w:pPr>
  </w:style>
  <w:style w:type="paragraph" w:styleId="Sidefod">
    <w:name w:val="footer"/>
    <w:basedOn w:val="Normal"/>
    <w:rsid w:val="009236D4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7573C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7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640E6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1E5CD0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1E5C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1E5CD0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E5CD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1E5CD0"/>
    <w:rPr>
      <w:b/>
      <w:bCs/>
    </w:rPr>
  </w:style>
  <w:style w:type="paragraph" w:styleId="Korrektur">
    <w:name w:val="Revision"/>
    <w:hidden/>
    <w:uiPriority w:val="99"/>
    <w:semiHidden/>
    <w:rsid w:val="008148EA"/>
    <w:rPr>
      <w:sz w:val="24"/>
      <w:szCs w:val="24"/>
    </w:rPr>
  </w:style>
  <w:style w:type="paragraph" w:customStyle="1" w:styleId="Default">
    <w:name w:val="Default"/>
    <w:rsid w:val="005C3D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sid w:val="00296262"/>
    <w:rPr>
      <w:sz w:val="24"/>
      <w:szCs w:val="24"/>
    </w:rPr>
  </w:style>
  <w:style w:type="table" w:styleId="Almindeligtabel5">
    <w:name w:val="Plain Table 5"/>
    <w:basedOn w:val="Tabel-Normal"/>
    <w:uiPriority w:val="45"/>
    <w:rsid w:val="0029626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D90B-23EB-4A1C-AF30-85FEB98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Akileraartarnermut Aqutsisoqarfimmit najoqqutassiaq</vt:lpstr>
    </vt:vector>
  </TitlesOfParts>
  <Company>KIT A/S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Akileraartarnermut Aqutsisoqarfimmit najoqqutassiaq</dc:title>
  <dc:creator>SVEL</dc:creator>
  <cp:lastModifiedBy>Niels Olav Holst-Larsen</cp:lastModifiedBy>
  <cp:revision>28</cp:revision>
  <cp:lastPrinted>2021-12-02T10:51:00Z</cp:lastPrinted>
  <dcterms:created xsi:type="dcterms:W3CDTF">2023-08-07T15:45:00Z</dcterms:created>
  <dcterms:modified xsi:type="dcterms:W3CDTF">2024-10-07T16:19:00Z</dcterms:modified>
</cp:coreProperties>
</file>